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2F" w:rsidRPr="003502E8" w:rsidRDefault="0017342F" w:rsidP="0017342F">
      <w:pPr>
        <w:spacing w:line="480" w:lineRule="auto"/>
        <w:rPr>
          <w:rFonts w:ascii="Times New Roman" w:hAnsi="Times New Roman" w:cs="Times New Roman"/>
          <w:b/>
          <w:sz w:val="24"/>
          <w:szCs w:val="24"/>
        </w:rPr>
      </w:pPr>
      <w:bookmarkStart w:id="0" w:name="_Hlk489187173"/>
      <w:bookmarkEnd w:id="0"/>
    </w:p>
    <w:p w:rsidR="0017342F" w:rsidRPr="003502E8" w:rsidRDefault="0017342F" w:rsidP="0017342F">
      <w:pPr>
        <w:spacing w:line="480" w:lineRule="auto"/>
        <w:jc w:val="center"/>
        <w:rPr>
          <w:rFonts w:ascii="Times New Roman" w:hAnsi="Times New Roman" w:cs="Times New Roman"/>
          <w:b/>
          <w:sz w:val="24"/>
          <w:szCs w:val="24"/>
        </w:rPr>
      </w:pPr>
    </w:p>
    <w:p w:rsidR="0017342F" w:rsidRPr="003502E8" w:rsidRDefault="0017342F" w:rsidP="0017342F">
      <w:pPr>
        <w:spacing w:line="480" w:lineRule="auto"/>
        <w:rPr>
          <w:rFonts w:ascii="Times New Roman" w:hAnsi="Times New Roman" w:cs="Times New Roman"/>
          <w:b/>
          <w:sz w:val="24"/>
          <w:szCs w:val="24"/>
        </w:rPr>
      </w:pPr>
    </w:p>
    <w:p w:rsidR="0017342F" w:rsidRPr="003502E8" w:rsidRDefault="0017342F" w:rsidP="0017342F">
      <w:pPr>
        <w:spacing w:line="480" w:lineRule="auto"/>
        <w:jc w:val="center"/>
        <w:rPr>
          <w:rFonts w:ascii="Times New Roman" w:hAnsi="Times New Roman" w:cs="Times New Roman"/>
          <w:b/>
          <w:sz w:val="24"/>
          <w:szCs w:val="24"/>
        </w:rPr>
      </w:pPr>
    </w:p>
    <w:p w:rsidR="0017342F" w:rsidRPr="003502E8" w:rsidRDefault="00B36683" w:rsidP="0017342F">
      <w:pPr>
        <w:spacing w:line="480" w:lineRule="auto"/>
        <w:jc w:val="center"/>
        <w:rPr>
          <w:rFonts w:ascii="Times New Roman" w:hAnsi="Times New Roman" w:cs="Times New Roman"/>
          <w:b/>
          <w:sz w:val="24"/>
          <w:szCs w:val="24"/>
        </w:rPr>
      </w:pPr>
      <w:r w:rsidRPr="00B36683">
        <w:rPr>
          <w:rFonts w:ascii="Times New Roman" w:hAnsi="Times New Roman" w:cs="Times New Roman"/>
          <w:b/>
          <w:sz w:val="24"/>
          <w:szCs w:val="24"/>
        </w:rPr>
        <w:t>Quantifying Environmental Effects of Switching from Reinforced Concrete to Cross-Laminated Timber for Construction</w:t>
      </w:r>
    </w:p>
    <w:p w:rsidR="0017342F" w:rsidRPr="003502E8" w:rsidRDefault="0017342F" w:rsidP="0017342F">
      <w:pPr>
        <w:spacing w:line="480" w:lineRule="auto"/>
        <w:jc w:val="center"/>
        <w:rPr>
          <w:rFonts w:ascii="Times New Roman" w:hAnsi="Times New Roman" w:cs="Times New Roman"/>
          <w:sz w:val="24"/>
          <w:szCs w:val="24"/>
        </w:rPr>
      </w:pPr>
      <w:r w:rsidRPr="003502E8">
        <w:rPr>
          <w:rFonts w:ascii="Times New Roman" w:hAnsi="Times New Roman" w:cs="Times New Roman"/>
          <w:sz w:val="24"/>
          <w:szCs w:val="24"/>
        </w:rPr>
        <w:t>Syed Ali Hasan</w:t>
      </w:r>
    </w:p>
    <w:p w:rsidR="0017342F" w:rsidRPr="003502E8" w:rsidRDefault="0017342F" w:rsidP="0017342F">
      <w:pPr>
        <w:spacing w:line="480" w:lineRule="auto"/>
        <w:jc w:val="center"/>
        <w:rPr>
          <w:rFonts w:ascii="Times New Roman" w:hAnsi="Times New Roman" w:cs="Times New Roman"/>
          <w:sz w:val="24"/>
          <w:szCs w:val="24"/>
        </w:rPr>
      </w:pPr>
    </w:p>
    <w:p w:rsidR="0017342F" w:rsidRPr="003502E8" w:rsidRDefault="0017342F" w:rsidP="0017342F">
      <w:pPr>
        <w:spacing w:line="480" w:lineRule="auto"/>
        <w:jc w:val="center"/>
        <w:rPr>
          <w:rFonts w:ascii="Times New Roman" w:hAnsi="Times New Roman" w:cs="Times New Roman"/>
          <w:sz w:val="24"/>
          <w:szCs w:val="24"/>
        </w:rPr>
      </w:pPr>
      <w:r w:rsidRPr="003502E8">
        <w:rPr>
          <w:rFonts w:ascii="Times New Roman" w:hAnsi="Times New Roman" w:cs="Times New Roman"/>
          <w:sz w:val="24"/>
          <w:szCs w:val="24"/>
        </w:rPr>
        <w:t>UC San Diego High Performance Outdoor Shake Table</w:t>
      </w:r>
    </w:p>
    <w:p w:rsidR="0017342F" w:rsidRPr="003502E8" w:rsidRDefault="0017342F" w:rsidP="0017342F">
      <w:pPr>
        <w:rPr>
          <w:rFonts w:ascii="Times New Roman" w:hAnsi="Times New Roman" w:cs="Times New Roman"/>
          <w:sz w:val="24"/>
          <w:szCs w:val="24"/>
        </w:rPr>
      </w:pPr>
      <w:r w:rsidRPr="003502E8">
        <w:rPr>
          <w:rFonts w:ascii="Times New Roman" w:hAnsi="Times New Roman" w:cs="Times New Roman"/>
          <w:sz w:val="24"/>
          <w:szCs w:val="24"/>
        </w:rPr>
        <w:br w:type="page"/>
      </w:r>
    </w:p>
    <w:p w:rsidR="0017342F" w:rsidRPr="003502E8" w:rsidRDefault="0017342F" w:rsidP="0017342F">
      <w:pPr>
        <w:spacing w:line="480" w:lineRule="auto"/>
        <w:rPr>
          <w:rFonts w:ascii="Times New Roman" w:hAnsi="Times New Roman" w:cs="Times New Roman"/>
          <w:sz w:val="24"/>
          <w:szCs w:val="24"/>
        </w:rPr>
      </w:pPr>
      <w:r w:rsidRPr="003502E8">
        <w:rPr>
          <w:rFonts w:ascii="Times New Roman" w:hAnsi="Times New Roman" w:cs="Times New Roman"/>
          <w:b/>
          <w:sz w:val="24"/>
          <w:szCs w:val="24"/>
        </w:rPr>
        <w:lastRenderedPageBreak/>
        <w:t>Introduction</w:t>
      </w:r>
    </w:p>
    <w:p w:rsidR="0017342F" w:rsidRPr="003502E8" w:rsidRDefault="0017342F" w:rsidP="0017342F">
      <w:pPr>
        <w:autoSpaceDE w:val="0"/>
        <w:autoSpaceDN w:val="0"/>
        <w:adjustRightInd w:val="0"/>
        <w:spacing w:after="0" w:line="480" w:lineRule="auto"/>
        <w:rPr>
          <w:rFonts w:ascii="Times New Roman" w:hAnsi="Times New Roman" w:cs="Times New Roman"/>
          <w:color w:val="000000"/>
          <w:sz w:val="24"/>
          <w:szCs w:val="24"/>
          <w:shd w:val="clear" w:color="auto" w:fill="FFFFFF"/>
        </w:rPr>
      </w:pPr>
      <w:r w:rsidRPr="003502E8">
        <w:rPr>
          <w:rFonts w:ascii="Times New Roman" w:hAnsi="Times New Roman" w:cs="Times New Roman"/>
          <w:sz w:val="24"/>
          <w:szCs w:val="24"/>
        </w:rPr>
        <w:tab/>
        <w:t>There is no question that one of the most imp</w:t>
      </w:r>
      <w:r w:rsidR="00F20F64">
        <w:rPr>
          <w:rFonts w:ascii="Times New Roman" w:hAnsi="Times New Roman" w:cs="Times New Roman"/>
          <w:sz w:val="24"/>
          <w:szCs w:val="24"/>
        </w:rPr>
        <w:t>ortant problems in the modern world</w:t>
      </w:r>
      <w:r w:rsidRPr="003502E8">
        <w:rPr>
          <w:rFonts w:ascii="Times New Roman" w:hAnsi="Times New Roman" w:cs="Times New Roman"/>
          <w:sz w:val="24"/>
          <w:szCs w:val="24"/>
        </w:rPr>
        <w:t xml:space="preserve"> is climate change. Greenhouse gas emissions have been steadily increasing</w:t>
      </w:r>
      <w:r w:rsidR="00F20F64">
        <w:rPr>
          <w:rFonts w:ascii="Times New Roman" w:hAnsi="Times New Roman" w:cs="Times New Roman"/>
          <w:sz w:val="24"/>
          <w:szCs w:val="24"/>
        </w:rPr>
        <w:t xml:space="preserve"> over the years and</w:t>
      </w:r>
      <w:r w:rsidRPr="003502E8">
        <w:rPr>
          <w:rFonts w:ascii="Times New Roman" w:hAnsi="Times New Roman" w:cs="Times New Roman"/>
          <w:sz w:val="24"/>
          <w:szCs w:val="24"/>
        </w:rPr>
        <w:t xml:space="preserve"> undoubtedly </w:t>
      </w:r>
      <w:r w:rsidR="00F20F64">
        <w:rPr>
          <w:rFonts w:ascii="Times New Roman" w:hAnsi="Times New Roman" w:cs="Times New Roman"/>
          <w:sz w:val="24"/>
          <w:szCs w:val="24"/>
        </w:rPr>
        <w:t xml:space="preserve">contribute </w:t>
      </w:r>
      <w:r w:rsidR="0065302C">
        <w:rPr>
          <w:rFonts w:ascii="Times New Roman" w:hAnsi="Times New Roman" w:cs="Times New Roman"/>
          <w:sz w:val="24"/>
          <w:szCs w:val="24"/>
        </w:rPr>
        <w:t>the most to this climate change</w:t>
      </w:r>
      <w:r w:rsidRPr="003502E8">
        <w:rPr>
          <w:rFonts w:ascii="Times New Roman" w:hAnsi="Times New Roman" w:cs="Times New Roman"/>
          <w:sz w:val="24"/>
          <w:szCs w:val="24"/>
        </w:rPr>
        <w:t xml:space="preserve">. </w:t>
      </w:r>
      <w:r w:rsidRPr="003502E8">
        <w:rPr>
          <w:rFonts w:ascii="Times New Roman" w:hAnsi="Times New Roman" w:cs="Times New Roman"/>
          <w:sz w:val="24"/>
          <w:szCs w:val="24"/>
          <w:shd w:val="clear" w:color="auto" w:fill="FFFFFF"/>
        </w:rPr>
        <w:t>In the</w:t>
      </w:r>
      <w:r w:rsidR="00F20F64">
        <w:rPr>
          <w:rFonts w:ascii="Times New Roman" w:hAnsi="Times New Roman" w:cs="Times New Roman"/>
          <w:sz w:val="24"/>
          <w:szCs w:val="24"/>
          <w:shd w:val="clear" w:color="auto" w:fill="FFFFFF"/>
        </w:rPr>
        <w:t>ir</w:t>
      </w:r>
      <w:r w:rsidRPr="003502E8">
        <w:rPr>
          <w:rFonts w:ascii="Times New Roman" w:hAnsi="Times New Roman" w:cs="Times New Roman"/>
          <w:sz w:val="24"/>
          <w:szCs w:val="24"/>
          <w:shd w:val="clear" w:color="auto" w:fill="FFFFFF"/>
        </w:rPr>
        <w:t xml:space="preserve"> 2015 report</w:t>
      </w:r>
      <w:r w:rsidR="00F20F64">
        <w:rPr>
          <w:rFonts w:ascii="Times New Roman" w:hAnsi="Times New Roman" w:cs="Times New Roman"/>
          <w:sz w:val="24"/>
          <w:szCs w:val="24"/>
          <w:shd w:val="clear" w:color="auto" w:fill="FFFFFF"/>
        </w:rPr>
        <w:t xml:space="preserve">, </w:t>
      </w:r>
      <w:r w:rsidR="00F20F64">
        <w:rPr>
          <w:rFonts w:ascii="Times New Roman" w:hAnsi="Times New Roman" w:cs="Times New Roman"/>
          <w:sz w:val="24"/>
          <w:szCs w:val="24"/>
        </w:rPr>
        <w:t>the</w:t>
      </w:r>
      <w:r w:rsidRPr="003502E8">
        <w:rPr>
          <w:rFonts w:ascii="Times New Roman" w:hAnsi="Times New Roman" w:cs="Times New Roman"/>
          <w:sz w:val="24"/>
          <w:szCs w:val="24"/>
        </w:rPr>
        <w:t xml:space="preserve"> Netherlands </w:t>
      </w:r>
      <w:r w:rsidR="00F20F64">
        <w:rPr>
          <w:rFonts w:ascii="Times New Roman" w:hAnsi="Times New Roman" w:cs="Times New Roman"/>
          <w:sz w:val="24"/>
          <w:szCs w:val="24"/>
        </w:rPr>
        <w:t xml:space="preserve">Environmental Assessment Agency </w:t>
      </w:r>
      <w:r w:rsidR="00F20F64">
        <w:rPr>
          <w:rFonts w:ascii="Times New Roman" w:hAnsi="Times New Roman" w:cs="Times New Roman"/>
          <w:color w:val="000000"/>
          <w:sz w:val="24"/>
          <w:szCs w:val="24"/>
          <w:shd w:val="clear" w:color="auto" w:fill="FFFFFF"/>
        </w:rPr>
        <w:t>stated that the</w:t>
      </w:r>
      <w:r w:rsidRPr="003502E8">
        <w:rPr>
          <w:rFonts w:ascii="Times New Roman" w:hAnsi="Times New Roman" w:cs="Times New Roman"/>
          <w:color w:val="000000"/>
          <w:sz w:val="24"/>
          <w:szCs w:val="24"/>
          <w:shd w:val="clear" w:color="auto" w:fill="FFFFFF"/>
        </w:rPr>
        <w:t xml:space="preserve"> global fossil-fuel and industrial processes carbon emission estimate was an enormous 35.7 billion tons of carbon dioxide</w:t>
      </w:r>
      <w:r w:rsidR="00F20F64">
        <w:rPr>
          <w:rFonts w:ascii="Times New Roman" w:hAnsi="Times New Roman" w:cs="Times New Roman"/>
          <w:color w:val="000000"/>
          <w:sz w:val="24"/>
          <w:szCs w:val="24"/>
          <w:shd w:val="clear" w:color="auto" w:fill="FFFFFF"/>
        </w:rPr>
        <w:t xml:space="preserve"> in 2014</w:t>
      </w:r>
      <w:r w:rsidRPr="003502E8">
        <w:rPr>
          <w:rFonts w:ascii="Times New Roman" w:hAnsi="Times New Roman" w:cs="Times New Roman"/>
          <w:color w:val="000000"/>
          <w:sz w:val="24"/>
          <w:szCs w:val="24"/>
          <w:shd w:val="clear" w:color="auto" w:fill="FFFFFF"/>
        </w:rPr>
        <w:t>. The building sector emitted about 9.4% of global greenhouse gas emissions in 2</w:t>
      </w:r>
      <w:r w:rsidR="00F20F64">
        <w:rPr>
          <w:rFonts w:ascii="Times New Roman" w:hAnsi="Times New Roman" w:cs="Times New Roman"/>
          <w:color w:val="000000"/>
          <w:sz w:val="24"/>
          <w:szCs w:val="24"/>
          <w:shd w:val="clear" w:color="auto" w:fill="FFFFFF"/>
        </w:rPr>
        <w:t>010 (</w:t>
      </w:r>
      <w:proofErr w:type="spellStart"/>
      <w:r w:rsidR="00F20F64">
        <w:rPr>
          <w:rFonts w:ascii="Times New Roman" w:hAnsi="Times New Roman" w:cs="Times New Roman"/>
          <w:color w:val="000000"/>
          <w:sz w:val="24"/>
          <w:szCs w:val="24"/>
          <w:shd w:val="clear" w:color="auto" w:fill="FFFFFF"/>
        </w:rPr>
        <w:t>Mastrandrea</w:t>
      </w:r>
      <w:proofErr w:type="spellEnd"/>
      <w:r w:rsidR="00F20F64">
        <w:rPr>
          <w:rFonts w:ascii="Times New Roman" w:hAnsi="Times New Roman" w:cs="Times New Roman"/>
          <w:color w:val="000000"/>
          <w:sz w:val="24"/>
          <w:szCs w:val="24"/>
          <w:shd w:val="clear" w:color="auto" w:fill="FFFFFF"/>
        </w:rPr>
        <w:t xml:space="preserve"> et al. 2015).</w:t>
      </w:r>
    </w:p>
    <w:p w:rsidR="0017342F" w:rsidRPr="003502E8" w:rsidRDefault="00F20F64" w:rsidP="0017342F">
      <w:pPr>
        <w:autoSpaceDE w:val="0"/>
        <w:autoSpaceDN w:val="0"/>
        <w:adjustRightInd w:val="0"/>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shd w:val="clear" w:color="auto" w:fill="FFFFFF"/>
        </w:rPr>
        <w:t xml:space="preserve">The US building sector constituted an even bigger percentage of US greenhouse gas emissions. </w:t>
      </w:r>
      <w:r w:rsidR="0017342F" w:rsidRPr="003502E8">
        <w:rPr>
          <w:rFonts w:ascii="Times New Roman" w:hAnsi="Times New Roman" w:cs="Times New Roman"/>
          <w:color w:val="000000"/>
          <w:sz w:val="24"/>
          <w:szCs w:val="24"/>
          <w:shd w:val="clear" w:color="auto" w:fill="FFFFFF"/>
        </w:rPr>
        <w:t xml:space="preserve">The commercial and residential building sector emitted </w:t>
      </w:r>
      <w:r>
        <w:rPr>
          <w:rFonts w:ascii="Times New Roman" w:hAnsi="Times New Roman" w:cs="Times New Roman"/>
          <w:color w:val="000000"/>
          <w:sz w:val="24"/>
          <w:szCs w:val="24"/>
          <w:shd w:val="clear" w:color="auto" w:fill="FFFFFF"/>
        </w:rPr>
        <w:t xml:space="preserve">a combined total of </w:t>
      </w:r>
      <w:r w:rsidR="0017342F" w:rsidRPr="003502E8">
        <w:rPr>
          <w:rFonts w:ascii="Times New Roman" w:hAnsi="Times New Roman" w:cs="Times New Roman"/>
          <w:color w:val="000000"/>
          <w:sz w:val="24"/>
          <w:szCs w:val="24"/>
          <w:shd w:val="clear" w:color="auto" w:fill="FFFFFF"/>
        </w:rPr>
        <w:t xml:space="preserve">33% of </w:t>
      </w:r>
      <w:r>
        <w:rPr>
          <w:rFonts w:ascii="Times New Roman" w:hAnsi="Times New Roman" w:cs="Times New Roman"/>
          <w:color w:val="000000"/>
          <w:sz w:val="24"/>
          <w:szCs w:val="24"/>
          <w:shd w:val="clear" w:color="auto" w:fill="FFFFFF"/>
        </w:rPr>
        <w:t xml:space="preserve">U.S. </w:t>
      </w:r>
      <w:r w:rsidR="0017342F" w:rsidRPr="003502E8">
        <w:rPr>
          <w:rFonts w:ascii="Times New Roman" w:hAnsi="Times New Roman" w:cs="Times New Roman"/>
          <w:color w:val="000000"/>
          <w:sz w:val="24"/>
          <w:szCs w:val="24"/>
          <w:shd w:val="clear" w:color="auto" w:fill="FFFFFF"/>
        </w:rPr>
        <w:t>gree</w:t>
      </w:r>
      <w:r>
        <w:rPr>
          <w:rFonts w:ascii="Times New Roman" w:hAnsi="Times New Roman" w:cs="Times New Roman"/>
          <w:color w:val="000000"/>
          <w:sz w:val="24"/>
          <w:szCs w:val="24"/>
          <w:shd w:val="clear" w:color="auto" w:fill="FFFFFF"/>
        </w:rPr>
        <w:t>nhouse gases in 2010 per the EPA, approximately 18% of which came</w:t>
      </w:r>
      <w:r w:rsidR="0017342F" w:rsidRPr="003502E8">
        <w:rPr>
          <w:rFonts w:ascii="Times New Roman" w:hAnsi="Times New Roman" w:cs="Times New Roman"/>
          <w:color w:val="000000"/>
          <w:sz w:val="24"/>
          <w:szCs w:val="24"/>
          <w:shd w:val="clear" w:color="auto" w:fill="FFFFFF"/>
        </w:rPr>
        <w:t xml:space="preserve"> from the residential sector alone. </w:t>
      </w:r>
      <w:r>
        <w:rPr>
          <w:rFonts w:ascii="Times New Roman" w:hAnsi="Times New Roman" w:cs="Times New Roman"/>
          <w:color w:val="000000"/>
          <w:sz w:val="24"/>
          <w:szCs w:val="24"/>
          <w:shd w:val="clear" w:color="auto" w:fill="FFFFFF"/>
        </w:rPr>
        <w:t>These percentages include emissions from the manufacture of</w:t>
      </w:r>
      <w:r w:rsidR="0017342F" w:rsidRPr="003502E8">
        <w:rPr>
          <w:rFonts w:ascii="Times New Roman" w:hAnsi="Times New Roman" w:cs="Times New Roman"/>
          <w:color w:val="000000"/>
          <w:sz w:val="24"/>
          <w:szCs w:val="24"/>
          <w:shd w:val="clear" w:color="auto" w:fill="FFFFFF"/>
        </w:rPr>
        <w:t xml:space="preserve"> concrete </w:t>
      </w:r>
      <w:r>
        <w:rPr>
          <w:rFonts w:ascii="Times New Roman" w:hAnsi="Times New Roman" w:cs="Times New Roman"/>
          <w:color w:val="000000"/>
          <w:sz w:val="24"/>
          <w:szCs w:val="24"/>
          <w:shd w:val="clear" w:color="auto" w:fill="FFFFFF"/>
        </w:rPr>
        <w:t xml:space="preserve">and the energy required to heat and </w:t>
      </w:r>
      <w:r w:rsidR="0017342F" w:rsidRPr="003502E8">
        <w:rPr>
          <w:rFonts w:ascii="Times New Roman" w:hAnsi="Times New Roman" w:cs="Times New Roman"/>
          <w:color w:val="000000"/>
          <w:sz w:val="24"/>
          <w:szCs w:val="24"/>
          <w:shd w:val="clear" w:color="auto" w:fill="FFFFFF"/>
        </w:rPr>
        <w:t>cool homes.</w:t>
      </w:r>
      <w:r w:rsidR="0017342F" w:rsidRPr="003502E8">
        <w:rPr>
          <w:rFonts w:ascii="Times New Roman" w:hAnsi="Times New Roman" w:cs="Times New Roman"/>
          <w:sz w:val="24"/>
          <w:szCs w:val="24"/>
        </w:rPr>
        <w:t xml:space="preserve"> There is an incredible amount of potential to reduce emissions </w:t>
      </w:r>
      <w:r w:rsidR="00E66AFF">
        <w:rPr>
          <w:rFonts w:ascii="Times New Roman" w:hAnsi="Times New Roman" w:cs="Times New Roman"/>
          <w:sz w:val="24"/>
          <w:szCs w:val="24"/>
        </w:rPr>
        <w:t>and energy usage in this sector by simply rethinking the materials used to construct buildings.</w:t>
      </w:r>
    </w:p>
    <w:p w:rsidR="00BD6260" w:rsidRPr="003502E8" w:rsidRDefault="00BD6260" w:rsidP="00BD6260">
      <w:pPr>
        <w:autoSpaceDE w:val="0"/>
        <w:autoSpaceDN w:val="0"/>
        <w:adjustRightInd w:val="0"/>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are many different materials that are used to </w:t>
      </w:r>
      <w:r w:rsidR="00CE33C1">
        <w:rPr>
          <w:rFonts w:ascii="Times New Roman" w:hAnsi="Times New Roman" w:cs="Times New Roman"/>
          <w:color w:val="222222"/>
          <w:sz w:val="24"/>
          <w:szCs w:val="24"/>
          <w:shd w:val="clear" w:color="auto" w:fill="FFFFFF"/>
        </w:rPr>
        <w:t>construct</w:t>
      </w:r>
      <w:r>
        <w:rPr>
          <w:rFonts w:ascii="Times New Roman" w:hAnsi="Times New Roman" w:cs="Times New Roman"/>
          <w:color w:val="222222"/>
          <w:sz w:val="24"/>
          <w:szCs w:val="24"/>
          <w:shd w:val="clear" w:color="auto" w:fill="FFFFFF"/>
        </w:rPr>
        <w:t xml:space="preserve"> various buildings. </w:t>
      </w:r>
      <w:r w:rsidR="00801BFD">
        <w:rPr>
          <w:rFonts w:ascii="Times New Roman" w:hAnsi="Times New Roman" w:cs="Times New Roman"/>
          <w:color w:val="222222"/>
          <w:sz w:val="24"/>
          <w:szCs w:val="24"/>
          <w:shd w:val="clear" w:color="auto" w:fill="FFFFFF"/>
        </w:rPr>
        <w:t>Traditionally, wood was</w:t>
      </w:r>
      <w:r w:rsidRPr="003502E8">
        <w:rPr>
          <w:rFonts w:ascii="Times New Roman" w:hAnsi="Times New Roman" w:cs="Times New Roman"/>
          <w:color w:val="222222"/>
          <w:sz w:val="24"/>
          <w:szCs w:val="24"/>
          <w:shd w:val="clear" w:color="auto" w:fill="FFFFFF"/>
        </w:rPr>
        <w:t xml:space="preserve"> used for low-rise residential buildings and reinforced concrete </w:t>
      </w:r>
      <w:r w:rsidR="004A5613">
        <w:rPr>
          <w:rFonts w:ascii="Times New Roman" w:hAnsi="Times New Roman" w:cs="Times New Roman"/>
          <w:color w:val="222222"/>
          <w:sz w:val="24"/>
          <w:szCs w:val="24"/>
          <w:shd w:val="clear" w:color="auto" w:fill="FFFFFF"/>
        </w:rPr>
        <w:t>was</w:t>
      </w:r>
      <w:r w:rsidRPr="003502E8">
        <w:rPr>
          <w:rFonts w:ascii="Times New Roman" w:hAnsi="Times New Roman" w:cs="Times New Roman"/>
          <w:color w:val="222222"/>
          <w:sz w:val="24"/>
          <w:szCs w:val="24"/>
          <w:shd w:val="clear" w:color="auto" w:fill="FFFFFF"/>
        </w:rPr>
        <w:t xml:space="preserve"> used for mid/high-rise buildings. In the past twenty years</w:t>
      </w:r>
      <w:r w:rsidR="0065302C">
        <w:rPr>
          <w:rFonts w:ascii="Times New Roman" w:hAnsi="Times New Roman" w:cs="Times New Roman"/>
          <w:color w:val="222222"/>
          <w:sz w:val="24"/>
          <w:szCs w:val="24"/>
          <w:shd w:val="clear" w:color="auto" w:fill="FFFFFF"/>
        </w:rPr>
        <w:t>,</w:t>
      </w:r>
      <w:r w:rsidRPr="003502E8">
        <w:rPr>
          <w:rFonts w:ascii="Times New Roman" w:hAnsi="Times New Roman" w:cs="Times New Roman"/>
          <w:color w:val="222222"/>
          <w:sz w:val="24"/>
          <w:szCs w:val="24"/>
          <w:shd w:val="clear" w:color="auto" w:fill="FFFFFF"/>
        </w:rPr>
        <w:t xml:space="preserve"> this has been changing. More and more research has been conducted</w:t>
      </w:r>
      <w:r w:rsidR="004A5613">
        <w:rPr>
          <w:rFonts w:ascii="Times New Roman" w:hAnsi="Times New Roman" w:cs="Times New Roman"/>
          <w:color w:val="222222"/>
          <w:sz w:val="24"/>
          <w:szCs w:val="24"/>
          <w:shd w:val="clear" w:color="auto" w:fill="FFFFFF"/>
        </w:rPr>
        <w:t>,</w:t>
      </w:r>
      <w:r w:rsidRPr="003502E8">
        <w:rPr>
          <w:rFonts w:ascii="Times New Roman" w:hAnsi="Times New Roman" w:cs="Times New Roman"/>
          <w:color w:val="222222"/>
          <w:sz w:val="24"/>
          <w:szCs w:val="24"/>
          <w:shd w:val="clear" w:color="auto" w:fill="FFFFFF"/>
        </w:rPr>
        <w:t xml:space="preserve"> proving the viability of using timber for mid-rise buildings. Cross-laminated timber is an engineered material that has been gaining popularity in construction due to its many advantages over reinforced concrete. These advantages include its light weight, cost effectiveness, fast installation, and versatility. Its benefits also include better thermal performance which contributes to its environmental superiority by reducing emissions in the </w:t>
      </w:r>
      <w:r w:rsidRPr="003502E8">
        <w:rPr>
          <w:rFonts w:ascii="Times New Roman" w:hAnsi="Times New Roman" w:cs="Times New Roman"/>
          <w:color w:val="222222"/>
          <w:sz w:val="24"/>
          <w:szCs w:val="24"/>
          <w:shd w:val="clear" w:color="auto" w:fill="FFFFFF"/>
        </w:rPr>
        <w:lastRenderedPageBreak/>
        <w:t>operations stage of a building’s life. These environmental benefits give CLT an enormous advantage over using reinforced concrete, which is traditionally seen as a huge source of emissions.</w:t>
      </w:r>
    </w:p>
    <w:p w:rsidR="0017342F" w:rsidRPr="003502E8" w:rsidRDefault="00085431" w:rsidP="0017342F">
      <w:pPr>
        <w:autoSpaceDE w:val="0"/>
        <w:autoSpaceDN w:val="0"/>
        <w:adjustRightInd w:val="0"/>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w:t>
      </w:r>
      <w:r w:rsidR="0017342F" w:rsidRPr="003502E8">
        <w:rPr>
          <w:rFonts w:ascii="Times New Roman" w:hAnsi="Times New Roman" w:cs="Times New Roman"/>
          <w:color w:val="222222"/>
          <w:sz w:val="24"/>
          <w:szCs w:val="24"/>
          <w:shd w:val="clear" w:color="auto" w:fill="FFFFFF"/>
        </w:rPr>
        <w:t>o determine the amount of energy used by a building throughout its life a method known as Life Cycle Assessment (LCA) is used. There are three main parts assessed in the life cycle of a building. The first is materialization. This consists of the actual construction of the building. The second is the operations stage. This is the stage where the building is used for the purpose it is designed for. The third and final stage is the end of life stage. This is when the building is demolished and its materials are properly disposed of. By analyzing the life cycle of two similar buildings, this research paper will compare the environmental effects of having CLT (cross-laminated timber) as the primary material used for  construction as opposed to reinforced concrete</w:t>
      </w:r>
      <w:r w:rsidR="00BD6260">
        <w:rPr>
          <w:rFonts w:ascii="Times New Roman" w:hAnsi="Times New Roman" w:cs="Times New Roman"/>
          <w:color w:val="222222"/>
          <w:sz w:val="24"/>
          <w:szCs w:val="24"/>
          <w:shd w:val="clear" w:color="auto" w:fill="FFFFFF"/>
        </w:rPr>
        <w:t xml:space="preserve"> (RC)</w:t>
      </w:r>
      <w:r w:rsidR="0017342F" w:rsidRPr="003502E8">
        <w:rPr>
          <w:rFonts w:ascii="Times New Roman" w:hAnsi="Times New Roman" w:cs="Times New Roman"/>
          <w:color w:val="222222"/>
          <w:sz w:val="24"/>
          <w:szCs w:val="24"/>
          <w:shd w:val="clear" w:color="auto" w:fill="FFFFFF"/>
        </w:rPr>
        <w:t xml:space="preserve">. </w:t>
      </w:r>
    </w:p>
    <w:p w:rsidR="00474C51" w:rsidRPr="003502E8" w:rsidRDefault="00474C51" w:rsidP="00377119">
      <w:pPr>
        <w:autoSpaceDE w:val="0"/>
        <w:autoSpaceDN w:val="0"/>
        <w:adjustRightInd w:val="0"/>
        <w:spacing w:after="0" w:line="480" w:lineRule="auto"/>
        <w:jc w:val="center"/>
        <w:rPr>
          <w:rFonts w:ascii="Times New Roman" w:hAnsi="Times New Roman" w:cs="Times New Roman"/>
          <w:b/>
          <w:color w:val="222222"/>
          <w:sz w:val="24"/>
          <w:szCs w:val="24"/>
          <w:shd w:val="clear" w:color="auto" w:fill="FFFFFF"/>
        </w:rPr>
      </w:pPr>
    </w:p>
    <w:p w:rsidR="00474C51" w:rsidRPr="003502E8" w:rsidRDefault="00474C51" w:rsidP="00377119">
      <w:pPr>
        <w:autoSpaceDE w:val="0"/>
        <w:autoSpaceDN w:val="0"/>
        <w:adjustRightInd w:val="0"/>
        <w:spacing w:after="0" w:line="480" w:lineRule="auto"/>
        <w:jc w:val="center"/>
        <w:rPr>
          <w:rFonts w:ascii="Times New Roman" w:hAnsi="Times New Roman" w:cs="Times New Roman"/>
          <w:b/>
          <w:color w:val="222222"/>
          <w:sz w:val="24"/>
          <w:szCs w:val="24"/>
          <w:shd w:val="clear" w:color="auto" w:fill="FFFFFF"/>
        </w:rPr>
      </w:pPr>
    </w:p>
    <w:p w:rsidR="00474C51" w:rsidRPr="003502E8" w:rsidRDefault="00474C51" w:rsidP="00377119">
      <w:pPr>
        <w:autoSpaceDE w:val="0"/>
        <w:autoSpaceDN w:val="0"/>
        <w:adjustRightInd w:val="0"/>
        <w:spacing w:after="0" w:line="480" w:lineRule="auto"/>
        <w:jc w:val="center"/>
        <w:rPr>
          <w:rFonts w:ascii="Times New Roman" w:hAnsi="Times New Roman" w:cs="Times New Roman"/>
          <w:b/>
          <w:color w:val="222222"/>
          <w:sz w:val="24"/>
          <w:szCs w:val="24"/>
          <w:shd w:val="clear" w:color="auto" w:fill="FFFFFF"/>
        </w:rPr>
      </w:pPr>
    </w:p>
    <w:p w:rsidR="00474C51" w:rsidRPr="003502E8" w:rsidRDefault="00474C51" w:rsidP="00377119">
      <w:pPr>
        <w:autoSpaceDE w:val="0"/>
        <w:autoSpaceDN w:val="0"/>
        <w:adjustRightInd w:val="0"/>
        <w:spacing w:after="0" w:line="480" w:lineRule="auto"/>
        <w:jc w:val="center"/>
        <w:rPr>
          <w:rFonts w:ascii="Times New Roman" w:hAnsi="Times New Roman" w:cs="Times New Roman"/>
          <w:b/>
          <w:color w:val="222222"/>
          <w:sz w:val="24"/>
          <w:szCs w:val="24"/>
          <w:shd w:val="clear" w:color="auto" w:fill="FFFFFF"/>
        </w:rPr>
      </w:pPr>
    </w:p>
    <w:p w:rsidR="00474C51" w:rsidRPr="003502E8" w:rsidRDefault="00474C51" w:rsidP="00377119">
      <w:pPr>
        <w:autoSpaceDE w:val="0"/>
        <w:autoSpaceDN w:val="0"/>
        <w:adjustRightInd w:val="0"/>
        <w:spacing w:after="0" w:line="480" w:lineRule="auto"/>
        <w:jc w:val="center"/>
        <w:rPr>
          <w:rFonts w:ascii="Times New Roman" w:hAnsi="Times New Roman" w:cs="Times New Roman"/>
          <w:b/>
          <w:color w:val="222222"/>
          <w:sz w:val="24"/>
          <w:szCs w:val="24"/>
          <w:shd w:val="clear" w:color="auto" w:fill="FFFFFF"/>
        </w:rPr>
      </w:pPr>
    </w:p>
    <w:p w:rsidR="00474C51" w:rsidRPr="003502E8" w:rsidRDefault="00474C51" w:rsidP="00377119">
      <w:pPr>
        <w:autoSpaceDE w:val="0"/>
        <w:autoSpaceDN w:val="0"/>
        <w:adjustRightInd w:val="0"/>
        <w:spacing w:after="0" w:line="480" w:lineRule="auto"/>
        <w:jc w:val="center"/>
        <w:rPr>
          <w:rFonts w:ascii="Times New Roman" w:hAnsi="Times New Roman" w:cs="Times New Roman"/>
          <w:b/>
          <w:color w:val="222222"/>
          <w:sz w:val="24"/>
          <w:szCs w:val="24"/>
          <w:shd w:val="clear" w:color="auto" w:fill="FFFFFF"/>
        </w:rPr>
      </w:pPr>
    </w:p>
    <w:p w:rsidR="00474C51" w:rsidRPr="003502E8" w:rsidRDefault="00474C51" w:rsidP="00377119">
      <w:pPr>
        <w:autoSpaceDE w:val="0"/>
        <w:autoSpaceDN w:val="0"/>
        <w:adjustRightInd w:val="0"/>
        <w:spacing w:after="0" w:line="480" w:lineRule="auto"/>
        <w:jc w:val="center"/>
        <w:rPr>
          <w:rFonts w:ascii="Times New Roman" w:hAnsi="Times New Roman" w:cs="Times New Roman"/>
          <w:b/>
          <w:color w:val="222222"/>
          <w:sz w:val="24"/>
          <w:szCs w:val="24"/>
          <w:shd w:val="clear" w:color="auto" w:fill="FFFFFF"/>
        </w:rPr>
      </w:pPr>
    </w:p>
    <w:p w:rsidR="00474C51" w:rsidRPr="003502E8" w:rsidRDefault="00474C51" w:rsidP="00377119">
      <w:pPr>
        <w:autoSpaceDE w:val="0"/>
        <w:autoSpaceDN w:val="0"/>
        <w:adjustRightInd w:val="0"/>
        <w:spacing w:after="0" w:line="480" w:lineRule="auto"/>
        <w:jc w:val="center"/>
        <w:rPr>
          <w:rFonts w:ascii="Times New Roman" w:hAnsi="Times New Roman" w:cs="Times New Roman"/>
          <w:b/>
          <w:color w:val="222222"/>
          <w:sz w:val="24"/>
          <w:szCs w:val="24"/>
          <w:shd w:val="clear" w:color="auto" w:fill="FFFFFF"/>
        </w:rPr>
      </w:pPr>
    </w:p>
    <w:p w:rsidR="00474C51" w:rsidRPr="003502E8" w:rsidRDefault="00474C51" w:rsidP="00377119">
      <w:pPr>
        <w:autoSpaceDE w:val="0"/>
        <w:autoSpaceDN w:val="0"/>
        <w:adjustRightInd w:val="0"/>
        <w:spacing w:after="0" w:line="480" w:lineRule="auto"/>
        <w:jc w:val="center"/>
        <w:rPr>
          <w:rFonts w:ascii="Times New Roman" w:hAnsi="Times New Roman" w:cs="Times New Roman"/>
          <w:b/>
          <w:color w:val="222222"/>
          <w:sz w:val="24"/>
          <w:szCs w:val="24"/>
          <w:shd w:val="clear" w:color="auto" w:fill="FFFFFF"/>
        </w:rPr>
      </w:pPr>
    </w:p>
    <w:p w:rsidR="00474C51" w:rsidRPr="003502E8" w:rsidRDefault="00474C51" w:rsidP="00377119">
      <w:pPr>
        <w:autoSpaceDE w:val="0"/>
        <w:autoSpaceDN w:val="0"/>
        <w:adjustRightInd w:val="0"/>
        <w:spacing w:after="0" w:line="480" w:lineRule="auto"/>
        <w:jc w:val="center"/>
        <w:rPr>
          <w:rFonts w:ascii="Times New Roman" w:hAnsi="Times New Roman" w:cs="Times New Roman"/>
          <w:b/>
          <w:color w:val="222222"/>
          <w:sz w:val="24"/>
          <w:szCs w:val="24"/>
          <w:shd w:val="clear" w:color="auto" w:fill="FFFFFF"/>
        </w:rPr>
      </w:pPr>
    </w:p>
    <w:p w:rsidR="00474C51" w:rsidRPr="003502E8" w:rsidRDefault="00474C51" w:rsidP="00377119">
      <w:pPr>
        <w:autoSpaceDE w:val="0"/>
        <w:autoSpaceDN w:val="0"/>
        <w:adjustRightInd w:val="0"/>
        <w:spacing w:after="0" w:line="480" w:lineRule="auto"/>
        <w:jc w:val="center"/>
        <w:rPr>
          <w:rFonts w:ascii="Times New Roman" w:hAnsi="Times New Roman" w:cs="Times New Roman"/>
          <w:b/>
          <w:color w:val="222222"/>
          <w:sz w:val="24"/>
          <w:szCs w:val="24"/>
          <w:shd w:val="clear" w:color="auto" w:fill="FFFFFF"/>
        </w:rPr>
      </w:pPr>
    </w:p>
    <w:p w:rsidR="00474C51" w:rsidRPr="003502E8" w:rsidRDefault="00474C51" w:rsidP="00377119">
      <w:pPr>
        <w:autoSpaceDE w:val="0"/>
        <w:autoSpaceDN w:val="0"/>
        <w:adjustRightInd w:val="0"/>
        <w:spacing w:after="0" w:line="480" w:lineRule="auto"/>
        <w:jc w:val="center"/>
        <w:rPr>
          <w:rFonts w:ascii="Times New Roman" w:hAnsi="Times New Roman" w:cs="Times New Roman"/>
          <w:b/>
          <w:color w:val="222222"/>
          <w:sz w:val="24"/>
          <w:szCs w:val="24"/>
          <w:shd w:val="clear" w:color="auto" w:fill="FFFFFF"/>
        </w:rPr>
      </w:pPr>
    </w:p>
    <w:p w:rsidR="00474C51" w:rsidRPr="003502E8" w:rsidRDefault="00474C51" w:rsidP="00377119">
      <w:pPr>
        <w:autoSpaceDE w:val="0"/>
        <w:autoSpaceDN w:val="0"/>
        <w:adjustRightInd w:val="0"/>
        <w:spacing w:after="0" w:line="480" w:lineRule="auto"/>
        <w:jc w:val="center"/>
        <w:rPr>
          <w:rFonts w:ascii="Times New Roman" w:hAnsi="Times New Roman" w:cs="Times New Roman"/>
          <w:b/>
          <w:color w:val="222222"/>
          <w:sz w:val="24"/>
          <w:szCs w:val="24"/>
          <w:shd w:val="clear" w:color="auto" w:fill="FFFFFF"/>
        </w:rPr>
      </w:pPr>
    </w:p>
    <w:p w:rsidR="00377119" w:rsidRPr="003502E8" w:rsidRDefault="0017342F" w:rsidP="00377119">
      <w:pPr>
        <w:autoSpaceDE w:val="0"/>
        <w:autoSpaceDN w:val="0"/>
        <w:adjustRightInd w:val="0"/>
        <w:spacing w:after="0" w:line="480" w:lineRule="auto"/>
        <w:jc w:val="center"/>
        <w:rPr>
          <w:rFonts w:ascii="Times New Roman" w:hAnsi="Times New Roman" w:cs="Times New Roman"/>
          <w:b/>
          <w:color w:val="222222"/>
          <w:sz w:val="24"/>
          <w:szCs w:val="24"/>
          <w:shd w:val="clear" w:color="auto" w:fill="FFFFFF"/>
        </w:rPr>
      </w:pPr>
      <w:r w:rsidRPr="003502E8">
        <w:rPr>
          <w:rFonts w:ascii="Times New Roman" w:hAnsi="Times New Roman" w:cs="Times New Roman"/>
          <w:b/>
          <w:color w:val="222222"/>
          <w:sz w:val="24"/>
          <w:szCs w:val="24"/>
          <w:shd w:val="clear" w:color="auto" w:fill="FFFFFF"/>
        </w:rPr>
        <w:t>Methodology</w:t>
      </w:r>
    </w:p>
    <w:p w:rsidR="00377119" w:rsidRPr="003502E8" w:rsidRDefault="0017342F" w:rsidP="00377119">
      <w:pPr>
        <w:autoSpaceDE w:val="0"/>
        <w:autoSpaceDN w:val="0"/>
        <w:adjustRightInd w:val="0"/>
        <w:spacing w:after="0" w:line="480" w:lineRule="auto"/>
        <w:ind w:firstLine="720"/>
        <w:rPr>
          <w:rFonts w:ascii="Times New Roman" w:hAnsi="Times New Roman" w:cs="Times New Roman"/>
          <w:noProof/>
          <w:sz w:val="24"/>
          <w:szCs w:val="24"/>
        </w:rPr>
      </w:pPr>
      <w:r w:rsidRPr="003502E8">
        <w:rPr>
          <w:rFonts w:ascii="Times New Roman" w:hAnsi="Times New Roman" w:cs="Times New Roman"/>
          <w:sz w:val="24"/>
          <w:szCs w:val="24"/>
        </w:rPr>
        <w:t xml:space="preserve">This paper quantifies the environmental effects of switching from reinforced concrete to cross-laminated timber structures by using a method known as the </w:t>
      </w:r>
      <w:r w:rsidR="00BD6260">
        <w:rPr>
          <w:rFonts w:ascii="Times New Roman" w:hAnsi="Times New Roman" w:cs="Times New Roman"/>
          <w:sz w:val="24"/>
          <w:szCs w:val="24"/>
        </w:rPr>
        <w:t>LCA</w:t>
      </w:r>
      <w:r w:rsidRPr="003502E8">
        <w:rPr>
          <w:rFonts w:ascii="Times New Roman" w:hAnsi="Times New Roman" w:cs="Times New Roman"/>
          <w:sz w:val="24"/>
          <w:szCs w:val="24"/>
        </w:rPr>
        <w:t>. This method analyzes the energy consumption of a</w:t>
      </w:r>
      <w:r w:rsidR="00377119" w:rsidRPr="003502E8">
        <w:rPr>
          <w:rFonts w:ascii="Times New Roman" w:hAnsi="Times New Roman" w:cs="Times New Roman"/>
          <w:sz w:val="24"/>
          <w:szCs w:val="24"/>
        </w:rPr>
        <w:t xml:space="preserve"> </w:t>
      </w:r>
      <w:r w:rsidRPr="003502E8">
        <w:rPr>
          <w:rFonts w:ascii="Times New Roman" w:hAnsi="Times New Roman" w:cs="Times New Roman"/>
          <w:sz w:val="24"/>
          <w:szCs w:val="24"/>
        </w:rPr>
        <w:t>building from its cradle to its grave in the three stages: materialization (embodied), operations (use), and end-of-life.</w:t>
      </w:r>
      <w:r w:rsidRPr="003502E8">
        <w:rPr>
          <w:rFonts w:ascii="Times New Roman" w:hAnsi="Times New Roman" w:cs="Times New Roman"/>
          <w:noProof/>
          <w:sz w:val="24"/>
          <w:szCs w:val="24"/>
        </w:rPr>
        <w:t xml:space="preserve"> </w:t>
      </w:r>
    </w:p>
    <w:p w:rsidR="00377119" w:rsidRPr="003502E8" w:rsidRDefault="00377119" w:rsidP="00377119">
      <w:pPr>
        <w:autoSpaceDE w:val="0"/>
        <w:autoSpaceDN w:val="0"/>
        <w:adjustRightInd w:val="0"/>
        <w:spacing w:after="0" w:line="480" w:lineRule="auto"/>
        <w:jc w:val="center"/>
        <w:rPr>
          <w:rFonts w:ascii="Times New Roman" w:hAnsi="Times New Roman" w:cs="Times New Roman"/>
          <w:b/>
          <w:sz w:val="24"/>
          <w:szCs w:val="24"/>
        </w:rPr>
      </w:pPr>
      <w:r w:rsidRPr="003502E8">
        <w:rPr>
          <w:rFonts w:ascii="Times New Roman" w:hAnsi="Times New Roman" w:cs="Times New Roman"/>
          <w:noProof/>
          <w:sz w:val="24"/>
          <w:szCs w:val="24"/>
        </w:rPr>
        <w:drawing>
          <wp:inline distT="0" distB="0" distL="0" distR="0" wp14:anchorId="3C57D280" wp14:editId="10334DC6">
            <wp:extent cx="3219450" cy="405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19450" cy="4057650"/>
                    </a:xfrm>
                    <a:prstGeom prst="rect">
                      <a:avLst/>
                    </a:prstGeom>
                  </pic:spPr>
                </pic:pic>
              </a:graphicData>
            </a:graphic>
          </wp:inline>
        </w:drawing>
      </w:r>
    </w:p>
    <w:p w:rsidR="0017342F" w:rsidRPr="003502E8" w:rsidRDefault="0017342F" w:rsidP="00377119">
      <w:pPr>
        <w:autoSpaceDE w:val="0"/>
        <w:autoSpaceDN w:val="0"/>
        <w:adjustRightInd w:val="0"/>
        <w:spacing w:after="0" w:line="480" w:lineRule="auto"/>
        <w:jc w:val="center"/>
        <w:rPr>
          <w:rFonts w:ascii="Times New Roman" w:hAnsi="Times New Roman" w:cs="Times New Roman"/>
          <w:sz w:val="24"/>
          <w:szCs w:val="24"/>
        </w:rPr>
      </w:pPr>
      <w:r w:rsidRPr="003502E8">
        <w:rPr>
          <w:rFonts w:ascii="Times New Roman" w:hAnsi="Times New Roman" w:cs="Times New Roman"/>
          <w:b/>
          <w:sz w:val="24"/>
          <w:szCs w:val="24"/>
        </w:rPr>
        <w:t>Figure 1</w:t>
      </w:r>
      <w:r w:rsidRPr="003502E8">
        <w:rPr>
          <w:rFonts w:ascii="Times New Roman" w:hAnsi="Times New Roman" w:cs="Times New Roman"/>
          <w:sz w:val="24"/>
          <w:szCs w:val="24"/>
        </w:rPr>
        <w:t>: The different stages of assessment in an LCA.</w:t>
      </w:r>
      <w:r w:rsidR="0054442C">
        <w:rPr>
          <w:rFonts w:ascii="Times New Roman" w:hAnsi="Times New Roman" w:cs="Times New Roman"/>
          <w:sz w:val="24"/>
          <w:szCs w:val="24"/>
        </w:rPr>
        <w:t xml:space="preserve"> Obtained from </w:t>
      </w:r>
      <w:proofErr w:type="spellStart"/>
      <w:r w:rsidR="0054442C">
        <w:rPr>
          <w:rFonts w:ascii="Times New Roman" w:hAnsi="Times New Roman" w:cs="Times New Roman"/>
          <w:sz w:val="24"/>
          <w:szCs w:val="24"/>
        </w:rPr>
        <w:t>Ghattas</w:t>
      </w:r>
      <w:proofErr w:type="spellEnd"/>
      <w:r w:rsidR="0054442C">
        <w:rPr>
          <w:rFonts w:ascii="Times New Roman" w:hAnsi="Times New Roman" w:cs="Times New Roman"/>
          <w:sz w:val="24"/>
          <w:szCs w:val="24"/>
        </w:rPr>
        <w:t xml:space="preserve"> et al. [2013]</w:t>
      </w:r>
    </w:p>
    <w:p w:rsidR="00474C51" w:rsidRPr="003502E8" w:rsidRDefault="00BD6260" w:rsidP="00474C51">
      <w:pPr>
        <w:autoSpaceDE w:val="0"/>
        <w:autoSpaceDN w:val="0"/>
        <w:adjustRightInd w:val="0"/>
        <w:spacing w:after="0" w:line="480" w:lineRule="auto"/>
        <w:ind w:firstLine="720"/>
        <w:rPr>
          <w:rFonts w:ascii="Times New Roman" w:hAnsi="Times New Roman" w:cs="Times New Roman"/>
          <w:noProof/>
          <w:sz w:val="24"/>
          <w:szCs w:val="24"/>
        </w:rPr>
      </w:pPr>
      <w:r>
        <w:rPr>
          <w:rFonts w:ascii="Times New Roman" w:hAnsi="Times New Roman" w:cs="Times New Roman"/>
          <w:sz w:val="24"/>
          <w:szCs w:val="24"/>
        </w:rPr>
        <w:t>The LC</w:t>
      </w:r>
      <w:r w:rsidR="0017342F" w:rsidRPr="003502E8">
        <w:rPr>
          <w:rFonts w:ascii="Times New Roman" w:hAnsi="Times New Roman" w:cs="Times New Roman"/>
          <w:sz w:val="24"/>
          <w:szCs w:val="24"/>
        </w:rPr>
        <w:t>A was performed on the midrise reinforced concrete building studied in Guo et al.</w:t>
      </w:r>
      <w:r w:rsidR="00757F16" w:rsidRPr="003502E8">
        <w:rPr>
          <w:rFonts w:ascii="Times New Roman" w:hAnsi="Times New Roman" w:cs="Times New Roman"/>
          <w:sz w:val="24"/>
          <w:szCs w:val="24"/>
        </w:rPr>
        <w:t xml:space="preserve"> [2017], shown in Figure 2</w:t>
      </w:r>
      <w:r w:rsidR="005A650A" w:rsidRPr="003502E8">
        <w:rPr>
          <w:rFonts w:ascii="Times New Roman" w:hAnsi="Times New Roman" w:cs="Times New Roman"/>
          <w:sz w:val="24"/>
          <w:szCs w:val="24"/>
        </w:rPr>
        <w:t xml:space="preserve">. </w:t>
      </w:r>
      <w:r w:rsidR="0017342F" w:rsidRPr="003502E8">
        <w:rPr>
          <w:rFonts w:ascii="Times New Roman" w:hAnsi="Times New Roman" w:cs="Times New Roman"/>
          <w:sz w:val="24"/>
          <w:szCs w:val="24"/>
        </w:rPr>
        <w:t>This was because</w:t>
      </w:r>
      <w:r w:rsidR="005A650A" w:rsidRPr="003502E8">
        <w:rPr>
          <w:rFonts w:ascii="Times New Roman" w:hAnsi="Times New Roman" w:cs="Times New Roman"/>
          <w:sz w:val="24"/>
          <w:szCs w:val="24"/>
        </w:rPr>
        <w:t xml:space="preserve"> operations stage simulations had already been </w:t>
      </w:r>
      <w:r w:rsidR="005A650A" w:rsidRPr="003502E8">
        <w:rPr>
          <w:rFonts w:ascii="Times New Roman" w:hAnsi="Times New Roman" w:cs="Times New Roman"/>
          <w:sz w:val="24"/>
          <w:szCs w:val="24"/>
        </w:rPr>
        <w:lastRenderedPageBreak/>
        <w:t xml:space="preserve">performed on it and </w:t>
      </w:r>
      <w:r w:rsidR="0017342F" w:rsidRPr="003502E8">
        <w:rPr>
          <w:rFonts w:ascii="Times New Roman" w:hAnsi="Times New Roman" w:cs="Times New Roman"/>
          <w:sz w:val="24"/>
          <w:szCs w:val="24"/>
        </w:rPr>
        <w:t>obtain</w:t>
      </w:r>
      <w:r w:rsidR="005A650A" w:rsidRPr="003502E8">
        <w:rPr>
          <w:rFonts w:ascii="Times New Roman" w:hAnsi="Times New Roman" w:cs="Times New Roman"/>
          <w:sz w:val="24"/>
          <w:szCs w:val="24"/>
        </w:rPr>
        <w:t>ing</w:t>
      </w:r>
      <w:r w:rsidR="0017342F" w:rsidRPr="003502E8">
        <w:rPr>
          <w:rFonts w:ascii="Times New Roman" w:hAnsi="Times New Roman" w:cs="Times New Roman"/>
          <w:sz w:val="24"/>
          <w:szCs w:val="24"/>
        </w:rPr>
        <w:t xml:space="preserve"> the operation’s stage energy usage</w:t>
      </w:r>
      <w:r w:rsidR="005A650A" w:rsidRPr="003502E8">
        <w:rPr>
          <w:rFonts w:ascii="Times New Roman" w:hAnsi="Times New Roman" w:cs="Times New Roman"/>
          <w:sz w:val="24"/>
          <w:szCs w:val="24"/>
        </w:rPr>
        <w:t xml:space="preserve"> on a different building</w:t>
      </w:r>
      <w:r w:rsidR="0017342F" w:rsidRPr="003502E8">
        <w:rPr>
          <w:rFonts w:ascii="Times New Roman" w:hAnsi="Times New Roman" w:cs="Times New Roman"/>
          <w:sz w:val="24"/>
          <w:szCs w:val="24"/>
        </w:rPr>
        <w:t xml:space="preserve"> would</w:t>
      </w:r>
      <w:r w:rsidR="00474C51" w:rsidRPr="003502E8">
        <w:rPr>
          <w:rFonts w:ascii="Times New Roman" w:hAnsi="Times New Roman" w:cs="Times New Roman"/>
          <w:sz w:val="24"/>
          <w:szCs w:val="24"/>
        </w:rPr>
        <w:t xml:space="preserve"> </w:t>
      </w:r>
      <w:r w:rsidR="005A650A" w:rsidRPr="003502E8">
        <w:rPr>
          <w:rFonts w:ascii="Times New Roman" w:hAnsi="Times New Roman" w:cs="Times New Roman"/>
          <w:sz w:val="24"/>
          <w:szCs w:val="24"/>
        </w:rPr>
        <w:t>be incredibly complex and</w:t>
      </w:r>
      <w:r w:rsidR="0017342F" w:rsidRPr="003502E8">
        <w:rPr>
          <w:rFonts w:ascii="Times New Roman" w:hAnsi="Times New Roman" w:cs="Times New Roman"/>
          <w:sz w:val="24"/>
          <w:szCs w:val="24"/>
        </w:rPr>
        <w:t xml:space="preserve"> require a study of its own</w:t>
      </w:r>
      <w:r w:rsidR="00380038" w:rsidRPr="003502E8">
        <w:rPr>
          <w:rFonts w:ascii="Times New Roman" w:hAnsi="Times New Roman" w:cs="Times New Roman"/>
          <w:sz w:val="24"/>
          <w:szCs w:val="24"/>
        </w:rPr>
        <w:t xml:space="preserve"> to get accurate results</w:t>
      </w:r>
      <w:r w:rsidR="001A3AFD" w:rsidRPr="003502E8">
        <w:rPr>
          <w:rFonts w:ascii="Times New Roman" w:hAnsi="Times New Roman" w:cs="Times New Roman"/>
          <w:sz w:val="24"/>
          <w:szCs w:val="24"/>
        </w:rPr>
        <w:t>.</w:t>
      </w:r>
      <w:r w:rsidR="001A3AFD" w:rsidRPr="003502E8">
        <w:rPr>
          <w:rFonts w:ascii="Times New Roman" w:hAnsi="Times New Roman" w:cs="Times New Roman"/>
          <w:noProof/>
          <w:sz w:val="24"/>
          <w:szCs w:val="24"/>
        </w:rPr>
        <w:t xml:space="preserve"> </w:t>
      </w:r>
    </w:p>
    <w:p w:rsidR="001A3AFD" w:rsidRPr="003502E8" w:rsidRDefault="001A3AFD" w:rsidP="00474C51">
      <w:pPr>
        <w:autoSpaceDE w:val="0"/>
        <w:autoSpaceDN w:val="0"/>
        <w:adjustRightInd w:val="0"/>
        <w:spacing w:after="0" w:line="480" w:lineRule="auto"/>
        <w:rPr>
          <w:rFonts w:ascii="Times New Roman" w:hAnsi="Times New Roman" w:cs="Times New Roman"/>
          <w:noProof/>
          <w:sz w:val="24"/>
          <w:szCs w:val="24"/>
        </w:rPr>
      </w:pPr>
      <w:r w:rsidRPr="003502E8">
        <w:rPr>
          <w:rFonts w:ascii="Times New Roman" w:hAnsi="Times New Roman" w:cs="Times New Roman"/>
          <w:noProof/>
          <w:sz w:val="24"/>
          <w:szCs w:val="24"/>
        </w:rPr>
        <w:drawing>
          <wp:inline distT="0" distB="0" distL="0" distR="0" wp14:anchorId="52E28536" wp14:editId="571D4E72">
            <wp:extent cx="5943600" cy="3200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00400"/>
                    </a:xfrm>
                    <a:prstGeom prst="rect">
                      <a:avLst/>
                    </a:prstGeom>
                  </pic:spPr>
                </pic:pic>
              </a:graphicData>
            </a:graphic>
          </wp:inline>
        </w:drawing>
      </w:r>
    </w:p>
    <w:p w:rsidR="00474C51" w:rsidRPr="003502E8" w:rsidRDefault="00474C51" w:rsidP="00474C51">
      <w:pPr>
        <w:autoSpaceDE w:val="0"/>
        <w:autoSpaceDN w:val="0"/>
        <w:adjustRightInd w:val="0"/>
        <w:spacing w:after="0" w:line="480" w:lineRule="auto"/>
        <w:ind w:firstLine="720"/>
        <w:jc w:val="center"/>
        <w:rPr>
          <w:rFonts w:ascii="Times New Roman" w:hAnsi="Times New Roman" w:cs="Times New Roman"/>
          <w:sz w:val="24"/>
          <w:szCs w:val="24"/>
        </w:rPr>
      </w:pPr>
      <w:r w:rsidRPr="003502E8">
        <w:rPr>
          <w:rFonts w:ascii="Times New Roman" w:hAnsi="Times New Roman" w:cs="Times New Roman"/>
          <w:b/>
          <w:noProof/>
          <w:sz w:val="24"/>
          <w:szCs w:val="24"/>
        </w:rPr>
        <w:t xml:space="preserve">Figure 2: </w:t>
      </w:r>
      <w:r w:rsidRPr="003502E8">
        <w:rPr>
          <w:rFonts w:ascii="Times New Roman" w:hAnsi="Times New Roman" w:cs="Times New Roman"/>
          <w:noProof/>
          <w:sz w:val="24"/>
          <w:szCs w:val="24"/>
        </w:rPr>
        <w:t xml:space="preserve"> Floor plan and section </w:t>
      </w:r>
      <w:r w:rsidR="007458E2">
        <w:rPr>
          <w:rFonts w:ascii="Times New Roman" w:hAnsi="Times New Roman" w:cs="Times New Roman"/>
          <w:noProof/>
          <w:sz w:val="24"/>
          <w:szCs w:val="24"/>
        </w:rPr>
        <w:t>view</w:t>
      </w:r>
      <w:r w:rsidRPr="003502E8">
        <w:rPr>
          <w:rFonts w:ascii="Times New Roman" w:hAnsi="Times New Roman" w:cs="Times New Roman"/>
          <w:noProof/>
          <w:sz w:val="24"/>
          <w:szCs w:val="24"/>
        </w:rPr>
        <w:t xml:space="preserve"> of building used in Guo et al. [2017].</w:t>
      </w:r>
    </w:p>
    <w:p w:rsidR="0017342F" w:rsidRDefault="0017342F" w:rsidP="0017342F">
      <w:pPr>
        <w:autoSpaceDE w:val="0"/>
        <w:autoSpaceDN w:val="0"/>
        <w:adjustRightInd w:val="0"/>
        <w:spacing w:after="0" w:line="480" w:lineRule="auto"/>
        <w:ind w:firstLine="720"/>
        <w:rPr>
          <w:rFonts w:ascii="Times New Roman" w:hAnsi="Times New Roman" w:cs="Times New Roman"/>
          <w:sz w:val="24"/>
          <w:szCs w:val="24"/>
        </w:rPr>
      </w:pPr>
      <w:r w:rsidRPr="003502E8">
        <w:rPr>
          <w:rFonts w:ascii="Times New Roman" w:hAnsi="Times New Roman" w:cs="Times New Roman"/>
          <w:sz w:val="24"/>
          <w:szCs w:val="24"/>
        </w:rPr>
        <w:t xml:space="preserve">Guo et al. </w:t>
      </w:r>
      <w:r w:rsidR="00757F16" w:rsidRPr="003502E8">
        <w:rPr>
          <w:rFonts w:ascii="Times New Roman" w:hAnsi="Times New Roman" w:cs="Times New Roman"/>
          <w:sz w:val="24"/>
          <w:szCs w:val="24"/>
        </w:rPr>
        <w:t xml:space="preserve">[2017] </w:t>
      </w:r>
      <w:r w:rsidRPr="003502E8">
        <w:rPr>
          <w:rFonts w:ascii="Times New Roman" w:hAnsi="Times New Roman" w:cs="Times New Roman"/>
          <w:sz w:val="24"/>
          <w:szCs w:val="24"/>
        </w:rPr>
        <w:t xml:space="preserve">performed the study by converting an </w:t>
      </w:r>
      <w:r w:rsidR="00380038" w:rsidRPr="003502E8">
        <w:rPr>
          <w:rFonts w:ascii="Times New Roman" w:hAnsi="Times New Roman" w:cs="Times New Roman"/>
          <w:sz w:val="24"/>
          <w:szCs w:val="24"/>
        </w:rPr>
        <w:t>existing RC (reinforced concrete) building to CLT and then performing simulations on it using IES (Integrated Environmental Solution) software</w:t>
      </w:r>
      <w:r w:rsidRPr="003502E8">
        <w:rPr>
          <w:rFonts w:ascii="Times New Roman" w:hAnsi="Times New Roman" w:cs="Times New Roman"/>
          <w:sz w:val="24"/>
          <w:szCs w:val="24"/>
        </w:rPr>
        <w:t xml:space="preserve">. The </w:t>
      </w:r>
      <w:r w:rsidR="005A650A" w:rsidRPr="003502E8">
        <w:rPr>
          <w:rFonts w:ascii="Times New Roman" w:hAnsi="Times New Roman" w:cs="Times New Roman"/>
          <w:sz w:val="24"/>
          <w:szCs w:val="24"/>
        </w:rPr>
        <w:t>strategy for</w:t>
      </w:r>
      <w:r w:rsidRPr="003502E8">
        <w:rPr>
          <w:rFonts w:ascii="Times New Roman" w:hAnsi="Times New Roman" w:cs="Times New Roman"/>
          <w:sz w:val="24"/>
          <w:szCs w:val="24"/>
        </w:rPr>
        <w:t xml:space="preserve"> making this conversion was </w:t>
      </w:r>
      <w:r w:rsidR="00380038" w:rsidRPr="003502E8">
        <w:rPr>
          <w:rFonts w:ascii="Times New Roman" w:hAnsi="Times New Roman" w:cs="Times New Roman"/>
          <w:sz w:val="24"/>
          <w:szCs w:val="24"/>
        </w:rPr>
        <w:t>not simply material replacement, but rather an integrated system build-up according to Guo et al.</w:t>
      </w:r>
      <w:r w:rsidR="00757F16" w:rsidRPr="003502E8">
        <w:rPr>
          <w:rFonts w:ascii="Times New Roman" w:hAnsi="Times New Roman" w:cs="Times New Roman"/>
          <w:sz w:val="24"/>
          <w:szCs w:val="24"/>
        </w:rPr>
        <w:t xml:space="preserve"> [2017]</w:t>
      </w:r>
      <w:r w:rsidR="00380038" w:rsidRPr="003502E8">
        <w:rPr>
          <w:rFonts w:ascii="Times New Roman" w:hAnsi="Times New Roman" w:cs="Times New Roman"/>
          <w:sz w:val="24"/>
          <w:szCs w:val="24"/>
        </w:rPr>
        <w:t xml:space="preserve"> The specifics </w:t>
      </w:r>
      <w:r w:rsidR="005A650A" w:rsidRPr="003502E8">
        <w:rPr>
          <w:rFonts w:ascii="Times New Roman" w:hAnsi="Times New Roman" w:cs="Times New Roman"/>
          <w:sz w:val="24"/>
          <w:szCs w:val="24"/>
        </w:rPr>
        <w:t xml:space="preserve">of this method </w:t>
      </w:r>
      <w:r w:rsidR="00380038" w:rsidRPr="003502E8">
        <w:rPr>
          <w:rFonts w:ascii="Times New Roman" w:hAnsi="Times New Roman" w:cs="Times New Roman"/>
          <w:sz w:val="24"/>
          <w:szCs w:val="24"/>
        </w:rPr>
        <w:t>are covered in depth in the paper’s methodology section.</w:t>
      </w:r>
    </w:p>
    <w:p w:rsidR="003A6FD9" w:rsidRPr="003A6FD9" w:rsidRDefault="003A6FD9" w:rsidP="003A6FD9">
      <w:pPr>
        <w:autoSpaceDE w:val="0"/>
        <w:autoSpaceDN w:val="0"/>
        <w:adjustRightInd w:val="0"/>
        <w:spacing w:after="0" w:line="480" w:lineRule="auto"/>
        <w:ind w:firstLine="720"/>
        <w:rPr>
          <w:rFonts w:ascii="Times New Roman" w:hAnsi="Times New Roman" w:cs="Times New Roman"/>
          <w:sz w:val="24"/>
          <w:szCs w:val="24"/>
        </w:rPr>
      </w:pPr>
      <w:r w:rsidRPr="003A6FD9">
        <w:rPr>
          <w:rFonts w:ascii="Times New Roman" w:hAnsi="Times New Roman" w:cs="Times New Roman"/>
          <w:sz w:val="24"/>
          <w:szCs w:val="24"/>
        </w:rPr>
        <w:t>This is a similar methodology to what was used in this study. The LCA was performed on both the CLT and RC versions of the structures. The results from each of the three stage</w:t>
      </w:r>
      <w:r w:rsidR="00F1752A">
        <w:rPr>
          <w:rFonts w:ascii="Times New Roman" w:hAnsi="Times New Roman" w:cs="Times New Roman"/>
          <w:sz w:val="24"/>
          <w:szCs w:val="24"/>
        </w:rPr>
        <w:t>s were obtained for both</w:t>
      </w:r>
      <w:r w:rsidRPr="003A6FD9">
        <w:rPr>
          <w:rFonts w:ascii="Times New Roman" w:hAnsi="Times New Roman" w:cs="Times New Roman"/>
          <w:sz w:val="24"/>
          <w:szCs w:val="24"/>
        </w:rPr>
        <w:t xml:space="preserve">. The data was then used to make a direct comparison between both versions of the buildings. </w:t>
      </w:r>
    </w:p>
    <w:p w:rsidR="0017342F" w:rsidRPr="003502E8" w:rsidRDefault="005A533D" w:rsidP="0017342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stage that was studied was the</w:t>
      </w:r>
      <w:r w:rsidR="0017342F" w:rsidRPr="003502E8">
        <w:rPr>
          <w:rFonts w:ascii="Times New Roman" w:hAnsi="Times New Roman" w:cs="Times New Roman"/>
          <w:sz w:val="24"/>
          <w:szCs w:val="24"/>
        </w:rPr>
        <w:t xml:space="preserve"> </w:t>
      </w:r>
      <w:r w:rsidR="00BD6260">
        <w:rPr>
          <w:rFonts w:ascii="Times New Roman" w:hAnsi="Times New Roman" w:cs="Times New Roman"/>
          <w:sz w:val="24"/>
          <w:szCs w:val="24"/>
        </w:rPr>
        <w:t>materialization stage of the LC</w:t>
      </w:r>
      <w:r>
        <w:rPr>
          <w:rFonts w:ascii="Times New Roman" w:hAnsi="Times New Roman" w:cs="Times New Roman"/>
          <w:sz w:val="24"/>
          <w:szCs w:val="24"/>
        </w:rPr>
        <w:t>A. T</w:t>
      </w:r>
      <w:r w:rsidR="0017342F" w:rsidRPr="003502E8">
        <w:rPr>
          <w:rFonts w:ascii="Times New Roman" w:hAnsi="Times New Roman" w:cs="Times New Roman"/>
          <w:sz w:val="24"/>
          <w:szCs w:val="24"/>
        </w:rPr>
        <w:t>he energy consumption from o</w:t>
      </w:r>
      <w:r w:rsidR="00BD6260">
        <w:rPr>
          <w:rFonts w:ascii="Times New Roman" w:hAnsi="Times New Roman" w:cs="Times New Roman"/>
          <w:sz w:val="24"/>
          <w:szCs w:val="24"/>
        </w:rPr>
        <w:t>btaining the selected building’s</w:t>
      </w:r>
      <w:r w:rsidR="0017342F" w:rsidRPr="003502E8">
        <w:rPr>
          <w:rFonts w:ascii="Times New Roman" w:hAnsi="Times New Roman" w:cs="Times New Roman"/>
          <w:sz w:val="24"/>
          <w:szCs w:val="24"/>
        </w:rPr>
        <w:t xml:space="preserve"> raw materials was observed. Then the use of </w:t>
      </w:r>
      <w:r w:rsidR="0017342F" w:rsidRPr="003502E8">
        <w:rPr>
          <w:rFonts w:ascii="Times New Roman" w:hAnsi="Times New Roman" w:cs="Times New Roman"/>
          <w:sz w:val="24"/>
          <w:szCs w:val="24"/>
        </w:rPr>
        <w:lastRenderedPageBreak/>
        <w:t xml:space="preserve">energy in transporting the materials to the factory where they were manufactured were considered. The processes for the manufacture of the materials into its components and products were taken into account along with the energy required to transport these products to the site. </w:t>
      </w:r>
      <w:r>
        <w:rPr>
          <w:rFonts w:ascii="Times New Roman" w:hAnsi="Times New Roman" w:cs="Times New Roman"/>
          <w:sz w:val="24"/>
          <w:szCs w:val="24"/>
        </w:rPr>
        <w:t xml:space="preserve">Since this distance varied across cities, a distance of 186 miles was assumed for simplicity. </w:t>
      </w:r>
      <w:r w:rsidR="0017342F" w:rsidRPr="003502E8">
        <w:rPr>
          <w:rFonts w:ascii="Times New Roman" w:hAnsi="Times New Roman" w:cs="Times New Roman"/>
          <w:sz w:val="24"/>
          <w:szCs w:val="24"/>
        </w:rPr>
        <w:t>Finally, the energy used in the construction of the buildings was considered.</w:t>
      </w:r>
      <w:r w:rsidR="00112AED">
        <w:rPr>
          <w:rFonts w:ascii="Times New Roman" w:hAnsi="Times New Roman" w:cs="Times New Roman"/>
          <w:sz w:val="24"/>
          <w:szCs w:val="24"/>
        </w:rPr>
        <w:t xml:space="preserve"> Since CLT stores carbon dioxide within itself, carbon sequestration was considered in this stage. Assuming 1 cubic meter of CLT stores 800 kilograms of carbon dioxide, 673.76 tons of carbon dioxide were </w:t>
      </w:r>
      <w:r w:rsidR="003C1BAA">
        <w:rPr>
          <w:rFonts w:ascii="Times New Roman" w:hAnsi="Times New Roman" w:cs="Times New Roman"/>
          <w:sz w:val="24"/>
          <w:szCs w:val="24"/>
        </w:rPr>
        <w:t>subtracted from</w:t>
      </w:r>
      <w:r w:rsidR="00112AED">
        <w:rPr>
          <w:rFonts w:ascii="Times New Roman" w:hAnsi="Times New Roman" w:cs="Times New Roman"/>
          <w:sz w:val="24"/>
          <w:szCs w:val="24"/>
        </w:rPr>
        <w:t xml:space="preserve"> the materializ</w:t>
      </w:r>
      <w:r w:rsidR="00DB6D84">
        <w:rPr>
          <w:rFonts w:ascii="Times New Roman" w:hAnsi="Times New Roman" w:cs="Times New Roman"/>
          <w:sz w:val="24"/>
          <w:szCs w:val="24"/>
        </w:rPr>
        <w:t>ation stage (842.2 m^3 of CLT was</w:t>
      </w:r>
      <w:r w:rsidR="00112AED">
        <w:rPr>
          <w:rFonts w:ascii="Times New Roman" w:hAnsi="Times New Roman" w:cs="Times New Roman"/>
          <w:sz w:val="24"/>
          <w:szCs w:val="24"/>
        </w:rPr>
        <w:t xml:space="preserve"> used in this building).</w:t>
      </w:r>
    </w:p>
    <w:p w:rsidR="00757F16" w:rsidRPr="003502E8" w:rsidRDefault="0017342F" w:rsidP="00757F16">
      <w:pPr>
        <w:autoSpaceDE w:val="0"/>
        <w:autoSpaceDN w:val="0"/>
        <w:adjustRightInd w:val="0"/>
        <w:spacing w:after="0" w:line="480" w:lineRule="auto"/>
        <w:rPr>
          <w:rFonts w:ascii="Times New Roman" w:hAnsi="Times New Roman" w:cs="Times New Roman"/>
          <w:noProof/>
          <w:sz w:val="24"/>
          <w:szCs w:val="24"/>
        </w:rPr>
      </w:pPr>
      <w:r w:rsidRPr="003502E8">
        <w:rPr>
          <w:rFonts w:ascii="Times New Roman" w:hAnsi="Times New Roman" w:cs="Times New Roman"/>
          <w:sz w:val="24"/>
          <w:szCs w:val="24"/>
        </w:rPr>
        <w:tab/>
        <w:t>In the operations stage, only the consumption due to the actual occupation of the building was considered. This was because maintenance/renovations make insignificant contributions in this stage overall. Despite there only being one sub factor to consider in this stage, it is still the most important one in a structure’s life.</w:t>
      </w:r>
      <w:r w:rsidR="00DC3066">
        <w:rPr>
          <w:rFonts w:ascii="Times New Roman" w:hAnsi="Times New Roman" w:cs="Times New Roman"/>
          <w:noProof/>
          <w:sz w:val="24"/>
          <w:szCs w:val="24"/>
        </w:rPr>
        <w:t xml:space="preserve"> As shown in Figure 3</w:t>
      </w:r>
      <w:r w:rsidRPr="003502E8">
        <w:rPr>
          <w:rFonts w:ascii="Times New Roman" w:hAnsi="Times New Roman" w:cs="Times New Roman"/>
          <w:noProof/>
          <w:sz w:val="24"/>
          <w:szCs w:val="24"/>
        </w:rPr>
        <w:t>, energy consumption during the</w:t>
      </w:r>
      <w:r w:rsidR="00757F16" w:rsidRPr="003502E8">
        <w:rPr>
          <w:rFonts w:ascii="Times New Roman" w:hAnsi="Times New Roman" w:cs="Times New Roman"/>
          <w:noProof/>
          <w:sz w:val="24"/>
          <w:szCs w:val="24"/>
        </w:rPr>
        <w:t xml:space="preserve"> </w:t>
      </w:r>
      <w:r w:rsidRPr="003502E8">
        <w:rPr>
          <w:rFonts w:ascii="Times New Roman" w:hAnsi="Times New Roman" w:cs="Times New Roman"/>
          <w:noProof/>
          <w:sz w:val="24"/>
          <w:szCs w:val="24"/>
        </w:rPr>
        <w:t>actual use of a building is the most contributive stage in energy consumption.</w:t>
      </w:r>
    </w:p>
    <w:p w:rsidR="00757F16" w:rsidRPr="003502E8" w:rsidRDefault="0017342F" w:rsidP="00757F16">
      <w:pPr>
        <w:autoSpaceDE w:val="0"/>
        <w:autoSpaceDN w:val="0"/>
        <w:adjustRightInd w:val="0"/>
        <w:spacing w:after="0" w:line="480" w:lineRule="auto"/>
        <w:jc w:val="right"/>
        <w:rPr>
          <w:rFonts w:ascii="Times New Roman" w:hAnsi="Times New Roman" w:cs="Times New Roman"/>
          <w:noProof/>
          <w:sz w:val="24"/>
          <w:szCs w:val="24"/>
        </w:rPr>
      </w:pPr>
      <w:r w:rsidRPr="003502E8">
        <w:rPr>
          <w:rFonts w:ascii="Times New Roman" w:hAnsi="Times New Roman" w:cs="Times New Roman"/>
          <w:noProof/>
          <w:sz w:val="24"/>
          <w:szCs w:val="24"/>
        </w:rPr>
        <w:t xml:space="preserve"> </w:t>
      </w:r>
    </w:p>
    <w:p w:rsidR="0017342F" w:rsidRPr="003502E8" w:rsidRDefault="00757F16" w:rsidP="00757F16">
      <w:pPr>
        <w:autoSpaceDE w:val="0"/>
        <w:autoSpaceDN w:val="0"/>
        <w:adjustRightInd w:val="0"/>
        <w:spacing w:after="0" w:line="480" w:lineRule="auto"/>
        <w:jc w:val="right"/>
        <w:rPr>
          <w:rFonts w:ascii="Times New Roman" w:hAnsi="Times New Roman" w:cs="Times New Roman"/>
          <w:noProof/>
          <w:sz w:val="24"/>
          <w:szCs w:val="24"/>
        </w:rPr>
      </w:pPr>
      <w:r w:rsidRPr="003502E8">
        <w:rPr>
          <w:rFonts w:ascii="Times New Roman" w:hAnsi="Times New Roman" w:cs="Times New Roman"/>
          <w:noProof/>
          <w:sz w:val="24"/>
          <w:szCs w:val="24"/>
        </w:rPr>
        <w:drawing>
          <wp:inline distT="0" distB="0" distL="0" distR="0" wp14:anchorId="6986FBDC" wp14:editId="7A791656">
            <wp:extent cx="2847975" cy="2609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47975" cy="2609850"/>
                    </a:xfrm>
                    <a:prstGeom prst="rect">
                      <a:avLst/>
                    </a:prstGeom>
                  </pic:spPr>
                </pic:pic>
              </a:graphicData>
            </a:graphic>
          </wp:inline>
        </w:drawing>
      </w:r>
      <w:r w:rsidRPr="003502E8">
        <w:rPr>
          <w:rFonts w:ascii="Times New Roman" w:hAnsi="Times New Roman" w:cs="Times New Roman"/>
          <w:noProof/>
          <w:sz w:val="24"/>
          <w:szCs w:val="24"/>
        </w:rPr>
        <w:drawing>
          <wp:inline distT="0" distB="0" distL="0" distR="0" wp14:anchorId="794F816E" wp14:editId="7A254D8C">
            <wp:extent cx="3086100" cy="2762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86100" cy="2762250"/>
                    </a:xfrm>
                    <a:prstGeom prst="rect">
                      <a:avLst/>
                    </a:prstGeom>
                  </pic:spPr>
                </pic:pic>
              </a:graphicData>
            </a:graphic>
          </wp:inline>
        </w:drawing>
      </w:r>
    </w:p>
    <w:p w:rsidR="0017342F" w:rsidRPr="003502E8" w:rsidRDefault="008B1547" w:rsidP="0017342F">
      <w:pPr>
        <w:autoSpaceDE w:val="0"/>
        <w:autoSpaceDN w:val="0"/>
        <w:adjustRightInd w:val="0"/>
        <w:spacing w:after="0" w:line="480" w:lineRule="auto"/>
        <w:jc w:val="center"/>
        <w:rPr>
          <w:rFonts w:ascii="Times New Roman" w:hAnsi="Times New Roman" w:cs="Times New Roman"/>
          <w:sz w:val="24"/>
          <w:szCs w:val="24"/>
        </w:rPr>
      </w:pPr>
      <w:r w:rsidRPr="003502E8">
        <w:rPr>
          <w:rFonts w:ascii="Times New Roman" w:hAnsi="Times New Roman" w:cs="Times New Roman"/>
          <w:b/>
          <w:noProof/>
          <w:sz w:val="24"/>
          <w:szCs w:val="24"/>
        </w:rPr>
        <w:t>Figure 3</w:t>
      </w:r>
      <w:r w:rsidR="0017342F" w:rsidRPr="003502E8">
        <w:rPr>
          <w:rFonts w:ascii="Times New Roman" w:hAnsi="Times New Roman" w:cs="Times New Roman"/>
          <w:b/>
          <w:noProof/>
          <w:sz w:val="24"/>
          <w:szCs w:val="24"/>
        </w:rPr>
        <w:t>:</w:t>
      </w:r>
      <w:r w:rsidR="0017342F" w:rsidRPr="003502E8">
        <w:rPr>
          <w:rFonts w:ascii="Times New Roman" w:hAnsi="Times New Roman" w:cs="Times New Roman"/>
          <w:noProof/>
          <w:sz w:val="24"/>
          <w:szCs w:val="24"/>
        </w:rPr>
        <w:t xml:space="preserve"> U.S. Energy and Electricity Consumption by Sector</w:t>
      </w:r>
    </w:p>
    <w:p w:rsidR="00543050" w:rsidRPr="003502E8" w:rsidRDefault="0017342F" w:rsidP="00543050">
      <w:pPr>
        <w:autoSpaceDE w:val="0"/>
        <w:autoSpaceDN w:val="0"/>
        <w:adjustRightInd w:val="0"/>
        <w:spacing w:after="0" w:line="480" w:lineRule="auto"/>
        <w:ind w:firstLine="720"/>
        <w:rPr>
          <w:rFonts w:ascii="Times New Roman" w:hAnsi="Times New Roman" w:cs="Times New Roman"/>
          <w:sz w:val="24"/>
          <w:szCs w:val="24"/>
        </w:rPr>
      </w:pPr>
      <w:r w:rsidRPr="003502E8">
        <w:rPr>
          <w:rFonts w:ascii="Times New Roman" w:hAnsi="Times New Roman" w:cs="Times New Roman"/>
          <w:sz w:val="24"/>
          <w:szCs w:val="24"/>
        </w:rPr>
        <w:lastRenderedPageBreak/>
        <w:t>To get an accurate measurement of the amount of energy used for heating and electricity, results from Guo et al.</w:t>
      </w:r>
      <w:r w:rsidR="00757F16" w:rsidRPr="003502E8">
        <w:rPr>
          <w:rFonts w:ascii="Times New Roman" w:hAnsi="Times New Roman" w:cs="Times New Roman"/>
          <w:sz w:val="24"/>
          <w:szCs w:val="24"/>
        </w:rPr>
        <w:t xml:space="preserve"> [2017]</w:t>
      </w:r>
      <w:r w:rsidRPr="003502E8">
        <w:rPr>
          <w:rFonts w:ascii="Times New Roman" w:hAnsi="Times New Roman" w:cs="Times New Roman"/>
          <w:sz w:val="24"/>
          <w:szCs w:val="24"/>
        </w:rPr>
        <w:t xml:space="preserve"> were used. </w:t>
      </w:r>
      <w:r w:rsidR="005A4419" w:rsidRPr="003502E8">
        <w:rPr>
          <w:rFonts w:ascii="Times New Roman" w:hAnsi="Times New Roman" w:cs="Times New Roman"/>
          <w:sz w:val="24"/>
          <w:szCs w:val="24"/>
        </w:rPr>
        <w:t>The study was performed by converting an existing RC (reinforced concrete) building to CLT and then performing simulations on it using IES (Integrated Environmental Solution) software. The strategy for making this conversion was not simply material replacement, but rather an integrated system build-up according to Guo et al.</w:t>
      </w:r>
      <w:r w:rsidR="00543050" w:rsidRPr="003502E8">
        <w:rPr>
          <w:rFonts w:ascii="Times New Roman" w:hAnsi="Times New Roman" w:cs="Times New Roman"/>
          <w:sz w:val="24"/>
          <w:szCs w:val="24"/>
        </w:rPr>
        <w:t xml:space="preserve"> </w:t>
      </w:r>
      <w:r w:rsidR="005A4419" w:rsidRPr="003502E8">
        <w:rPr>
          <w:rFonts w:ascii="Times New Roman" w:hAnsi="Times New Roman" w:cs="Times New Roman"/>
          <w:sz w:val="24"/>
          <w:szCs w:val="24"/>
        </w:rPr>
        <w:t xml:space="preserve">[2017]. </w:t>
      </w:r>
    </w:p>
    <w:p w:rsidR="00543050" w:rsidRPr="003502E8" w:rsidRDefault="00543050" w:rsidP="00543050">
      <w:pPr>
        <w:autoSpaceDE w:val="0"/>
        <w:autoSpaceDN w:val="0"/>
        <w:adjustRightInd w:val="0"/>
        <w:spacing w:after="0" w:line="480" w:lineRule="auto"/>
        <w:ind w:firstLine="720"/>
        <w:rPr>
          <w:rFonts w:ascii="Times New Roman" w:hAnsi="Times New Roman" w:cs="Times New Roman"/>
          <w:noProof/>
          <w:sz w:val="24"/>
          <w:szCs w:val="24"/>
        </w:rPr>
      </w:pPr>
      <w:r w:rsidRPr="003502E8">
        <w:rPr>
          <w:rFonts w:ascii="Times New Roman" w:hAnsi="Times New Roman" w:cs="Times New Roman"/>
          <w:sz w:val="24"/>
          <w:szCs w:val="24"/>
        </w:rPr>
        <w:t>The simulations were performed in 31 different Chinese cities that ranged over various climate zones. The buildings’ designs were adjusted to meet local building regulations.</w:t>
      </w:r>
      <w:r w:rsidR="005A533D">
        <w:rPr>
          <w:rFonts w:ascii="Times New Roman" w:hAnsi="Times New Roman" w:cs="Times New Roman"/>
          <w:sz w:val="24"/>
          <w:szCs w:val="24"/>
        </w:rPr>
        <w:t xml:space="preserve"> </w:t>
      </w:r>
      <w:r w:rsidRPr="003502E8">
        <w:rPr>
          <w:rFonts w:ascii="Times New Roman" w:hAnsi="Times New Roman" w:cs="Times New Roman"/>
          <w:sz w:val="24"/>
          <w:szCs w:val="24"/>
        </w:rPr>
        <w:t xml:space="preserve"> </w:t>
      </w:r>
      <w:r w:rsidR="005A4419" w:rsidRPr="003502E8">
        <w:rPr>
          <w:rFonts w:ascii="Times New Roman" w:hAnsi="Times New Roman" w:cs="Times New Roman"/>
          <w:sz w:val="24"/>
          <w:szCs w:val="24"/>
        </w:rPr>
        <w:t>The specifics of this method are covered in depth in the paper’s methodology section.</w:t>
      </w:r>
      <w:r w:rsidR="00E33B82" w:rsidRPr="003502E8">
        <w:rPr>
          <w:rFonts w:ascii="Times New Roman" w:hAnsi="Times New Roman" w:cs="Times New Roman"/>
          <w:noProof/>
          <w:sz w:val="24"/>
          <w:szCs w:val="24"/>
        </w:rPr>
        <w:t xml:space="preserve"> </w:t>
      </w:r>
      <w:r w:rsidR="00A80345">
        <w:rPr>
          <w:rFonts w:ascii="Times New Roman" w:hAnsi="Times New Roman" w:cs="Times New Roman"/>
          <w:noProof/>
          <w:sz w:val="24"/>
          <w:szCs w:val="24"/>
        </w:rPr>
        <w:t xml:space="preserve">Since the only differing factor between performing these simulations in China compared to the US was weather, the data from these cities was applied to US cities by determining which one of these had the most similar weather from 2016. The data </w:t>
      </w:r>
      <w:r w:rsidR="00B62E2B">
        <w:rPr>
          <w:rFonts w:ascii="Times New Roman" w:hAnsi="Times New Roman" w:cs="Times New Roman"/>
          <w:noProof/>
          <w:sz w:val="24"/>
          <w:szCs w:val="24"/>
        </w:rPr>
        <w:t>to perform this comparison was</w:t>
      </w:r>
      <w:r w:rsidR="00A80345">
        <w:rPr>
          <w:rFonts w:ascii="Times New Roman" w:hAnsi="Times New Roman" w:cs="Times New Roman"/>
          <w:noProof/>
          <w:sz w:val="24"/>
          <w:szCs w:val="24"/>
        </w:rPr>
        <w:t xml:space="preserve"> taken from Weather Underground</w:t>
      </w:r>
      <w:r w:rsidR="00A63FB7">
        <w:rPr>
          <w:rFonts w:ascii="Times New Roman" w:hAnsi="Times New Roman" w:cs="Times New Roman"/>
          <w:noProof/>
          <w:sz w:val="24"/>
          <w:szCs w:val="24"/>
        </w:rPr>
        <w:t>’s historical weather</w:t>
      </w:r>
      <w:r w:rsidR="00A80345">
        <w:rPr>
          <w:rFonts w:ascii="Times New Roman" w:hAnsi="Times New Roman" w:cs="Times New Roman"/>
          <w:noProof/>
          <w:sz w:val="24"/>
          <w:szCs w:val="24"/>
        </w:rPr>
        <w:t xml:space="preserve"> database.</w:t>
      </w:r>
    </w:p>
    <w:p w:rsidR="00543050" w:rsidRPr="003502E8" w:rsidRDefault="00543050" w:rsidP="00543050">
      <w:pPr>
        <w:autoSpaceDE w:val="0"/>
        <w:autoSpaceDN w:val="0"/>
        <w:adjustRightInd w:val="0"/>
        <w:spacing w:after="0" w:line="480" w:lineRule="auto"/>
        <w:ind w:firstLine="720"/>
        <w:rPr>
          <w:rFonts w:ascii="Times New Roman" w:hAnsi="Times New Roman" w:cs="Times New Roman"/>
          <w:noProof/>
          <w:sz w:val="24"/>
          <w:szCs w:val="24"/>
        </w:rPr>
      </w:pPr>
    </w:p>
    <w:p w:rsidR="00543050" w:rsidRPr="003502E8" w:rsidRDefault="00543050" w:rsidP="00543050">
      <w:pPr>
        <w:autoSpaceDE w:val="0"/>
        <w:autoSpaceDN w:val="0"/>
        <w:adjustRightInd w:val="0"/>
        <w:spacing w:after="0" w:line="480" w:lineRule="auto"/>
        <w:jc w:val="center"/>
        <w:rPr>
          <w:rFonts w:ascii="Times New Roman" w:hAnsi="Times New Roman" w:cs="Times New Roman"/>
          <w:noProof/>
          <w:sz w:val="24"/>
          <w:szCs w:val="24"/>
        </w:rPr>
      </w:pPr>
      <w:r w:rsidRPr="003502E8">
        <w:rPr>
          <w:rFonts w:ascii="Times New Roman" w:hAnsi="Times New Roman" w:cs="Times New Roman"/>
          <w:noProof/>
          <w:sz w:val="24"/>
          <w:szCs w:val="24"/>
        </w:rPr>
        <w:drawing>
          <wp:inline distT="0" distB="0" distL="0" distR="0" wp14:anchorId="1082DB26" wp14:editId="071DEB98">
            <wp:extent cx="5943600" cy="27851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85110"/>
                    </a:xfrm>
                    <a:prstGeom prst="rect">
                      <a:avLst/>
                    </a:prstGeom>
                  </pic:spPr>
                </pic:pic>
              </a:graphicData>
            </a:graphic>
          </wp:inline>
        </w:drawing>
      </w:r>
    </w:p>
    <w:p w:rsidR="00543050" w:rsidRPr="003502E8" w:rsidRDefault="00543050" w:rsidP="00543050">
      <w:pPr>
        <w:autoSpaceDE w:val="0"/>
        <w:autoSpaceDN w:val="0"/>
        <w:adjustRightInd w:val="0"/>
        <w:spacing w:after="0" w:line="480" w:lineRule="auto"/>
        <w:ind w:firstLine="720"/>
        <w:jc w:val="center"/>
        <w:rPr>
          <w:rFonts w:ascii="Times New Roman" w:hAnsi="Times New Roman" w:cs="Times New Roman"/>
          <w:noProof/>
          <w:sz w:val="24"/>
          <w:szCs w:val="24"/>
        </w:rPr>
      </w:pPr>
      <w:r w:rsidRPr="003502E8">
        <w:rPr>
          <w:rFonts w:ascii="Times New Roman" w:hAnsi="Times New Roman" w:cs="Times New Roman"/>
          <w:b/>
          <w:noProof/>
          <w:sz w:val="24"/>
          <w:szCs w:val="24"/>
        </w:rPr>
        <w:lastRenderedPageBreak/>
        <w:t xml:space="preserve">Figure 4: </w:t>
      </w:r>
      <w:r w:rsidRPr="003502E8">
        <w:rPr>
          <w:rFonts w:ascii="Times New Roman" w:hAnsi="Times New Roman" w:cs="Times New Roman"/>
          <w:noProof/>
          <w:sz w:val="24"/>
          <w:szCs w:val="24"/>
        </w:rPr>
        <w:t>Operations stage energy usage in 31 Chinese cities.</w:t>
      </w:r>
      <w:r w:rsidR="008F6AF6">
        <w:rPr>
          <w:rFonts w:ascii="Times New Roman" w:hAnsi="Times New Roman" w:cs="Times New Roman"/>
          <w:noProof/>
          <w:sz w:val="24"/>
          <w:szCs w:val="24"/>
        </w:rPr>
        <w:t xml:space="preserve"> Taken from Liu et al. [2015].</w:t>
      </w:r>
    </w:p>
    <w:p w:rsidR="0017342F" w:rsidRPr="003502E8" w:rsidRDefault="00207710" w:rsidP="0020771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end-of-life stage was broken down into three parts.</w:t>
      </w:r>
      <w:r w:rsidR="0017342F" w:rsidRPr="003502E8">
        <w:rPr>
          <w:rFonts w:ascii="Times New Roman" w:hAnsi="Times New Roman" w:cs="Times New Roman"/>
          <w:sz w:val="24"/>
          <w:szCs w:val="24"/>
        </w:rPr>
        <w:t xml:space="preserve"> The first was the deconstruction of the structure. </w:t>
      </w:r>
      <w:r>
        <w:rPr>
          <w:rFonts w:ascii="Times New Roman" w:hAnsi="Times New Roman" w:cs="Times New Roman"/>
          <w:sz w:val="24"/>
          <w:szCs w:val="24"/>
        </w:rPr>
        <w:t xml:space="preserve">The deconstruction of a building is assumed to take 90% of the energy it took to erect it. </w:t>
      </w:r>
      <w:r w:rsidR="0017342F" w:rsidRPr="003502E8">
        <w:rPr>
          <w:rFonts w:ascii="Times New Roman" w:hAnsi="Times New Roman" w:cs="Times New Roman"/>
          <w:sz w:val="24"/>
          <w:szCs w:val="24"/>
        </w:rPr>
        <w:t xml:space="preserve">The second was the removal of the materials from the site. </w:t>
      </w:r>
      <w:r w:rsidR="00F024A4">
        <w:rPr>
          <w:rFonts w:ascii="Times New Roman" w:hAnsi="Times New Roman" w:cs="Times New Roman"/>
          <w:sz w:val="24"/>
          <w:szCs w:val="24"/>
        </w:rPr>
        <w:t>This is uses an insignificant amount of energy in an LCA so</w:t>
      </w:r>
      <w:r>
        <w:rPr>
          <w:rFonts w:ascii="Times New Roman" w:hAnsi="Times New Roman" w:cs="Times New Roman"/>
          <w:sz w:val="24"/>
          <w:szCs w:val="24"/>
        </w:rPr>
        <w:t xml:space="preserve"> it was not taken into account. </w:t>
      </w:r>
      <w:r w:rsidR="0017342F" w:rsidRPr="003502E8">
        <w:rPr>
          <w:rFonts w:ascii="Times New Roman" w:hAnsi="Times New Roman" w:cs="Times New Roman"/>
          <w:sz w:val="24"/>
          <w:szCs w:val="24"/>
        </w:rPr>
        <w:t>The third and most important part was the disposal/recycling of the materials. Most of the carbon emissions in the end of life stage are related to the disposal of materials so this is the part that was</w:t>
      </w:r>
      <w:r w:rsidR="00F024A4">
        <w:rPr>
          <w:rFonts w:ascii="Times New Roman" w:hAnsi="Times New Roman" w:cs="Times New Roman"/>
          <w:sz w:val="24"/>
          <w:szCs w:val="24"/>
        </w:rPr>
        <w:t xml:space="preserve"> most heavily</w:t>
      </w:r>
      <w:r w:rsidR="0017342F" w:rsidRPr="003502E8">
        <w:rPr>
          <w:rFonts w:ascii="Times New Roman" w:hAnsi="Times New Roman" w:cs="Times New Roman"/>
          <w:sz w:val="24"/>
          <w:szCs w:val="24"/>
        </w:rPr>
        <w:t xml:space="preserve"> focused on.</w:t>
      </w:r>
    </w:p>
    <w:p w:rsidR="00060A68" w:rsidRPr="003502E8" w:rsidRDefault="001A3AFD" w:rsidP="00060A68">
      <w:pPr>
        <w:autoSpaceDE w:val="0"/>
        <w:autoSpaceDN w:val="0"/>
        <w:adjustRightInd w:val="0"/>
        <w:spacing w:after="0" w:line="480" w:lineRule="auto"/>
        <w:jc w:val="center"/>
        <w:rPr>
          <w:rFonts w:ascii="Times New Roman" w:hAnsi="Times New Roman" w:cs="Times New Roman"/>
          <w:b/>
          <w:sz w:val="24"/>
          <w:szCs w:val="24"/>
        </w:rPr>
      </w:pPr>
      <w:r w:rsidRPr="003502E8">
        <w:rPr>
          <w:rFonts w:ascii="Times New Roman" w:hAnsi="Times New Roman" w:cs="Times New Roman"/>
          <w:b/>
          <w:sz w:val="24"/>
          <w:szCs w:val="24"/>
        </w:rPr>
        <w:t>Results</w:t>
      </w:r>
    </w:p>
    <w:p w:rsidR="00C35266" w:rsidRPr="003502E8" w:rsidRDefault="001A3AFD" w:rsidP="001A3AFD">
      <w:pPr>
        <w:autoSpaceDE w:val="0"/>
        <w:autoSpaceDN w:val="0"/>
        <w:adjustRightInd w:val="0"/>
        <w:spacing w:after="0" w:line="480" w:lineRule="auto"/>
        <w:rPr>
          <w:rFonts w:ascii="Times New Roman" w:hAnsi="Times New Roman" w:cs="Times New Roman"/>
          <w:sz w:val="24"/>
          <w:szCs w:val="24"/>
        </w:rPr>
      </w:pPr>
      <w:r w:rsidRPr="003502E8">
        <w:rPr>
          <w:rFonts w:ascii="Times New Roman" w:hAnsi="Times New Roman" w:cs="Times New Roman"/>
          <w:b/>
          <w:sz w:val="24"/>
          <w:szCs w:val="24"/>
        </w:rPr>
        <w:tab/>
      </w:r>
      <w:r w:rsidRPr="003502E8">
        <w:rPr>
          <w:rFonts w:ascii="Times New Roman" w:hAnsi="Times New Roman" w:cs="Times New Roman"/>
          <w:sz w:val="24"/>
          <w:szCs w:val="24"/>
        </w:rPr>
        <w:t>The materialization energy values associated with the two versions of the buildings was covered in Liu et al. [2016].</w:t>
      </w:r>
      <w:r w:rsidR="00474C51" w:rsidRPr="003502E8">
        <w:rPr>
          <w:rFonts w:ascii="Times New Roman" w:hAnsi="Times New Roman" w:cs="Times New Roman"/>
          <w:sz w:val="24"/>
          <w:szCs w:val="24"/>
        </w:rPr>
        <w:t xml:space="preserve"> </w:t>
      </w:r>
      <w:r w:rsidR="0061360F" w:rsidRPr="003502E8">
        <w:rPr>
          <w:rFonts w:ascii="Times New Roman" w:hAnsi="Times New Roman" w:cs="Times New Roman"/>
          <w:sz w:val="24"/>
          <w:szCs w:val="24"/>
        </w:rPr>
        <w:t>With an assumed distance</w:t>
      </w:r>
      <w:r w:rsidR="00C16307" w:rsidRPr="003502E8">
        <w:rPr>
          <w:rFonts w:ascii="Times New Roman" w:hAnsi="Times New Roman" w:cs="Times New Roman"/>
          <w:sz w:val="24"/>
          <w:szCs w:val="24"/>
        </w:rPr>
        <w:t xml:space="preserve"> of 186 miles for transportation, the energy required for the materialization of the concrete structure was 4000 GJ. The materialization of the CLT structure was approximately 2000 GJ on the other hand. The CO2 emissions ratios were even larger than the energy consumption ratios. The erection of the concrete structure emitted 400 tons of CO2 whereas t</w:t>
      </w:r>
      <w:r w:rsidR="007B357A">
        <w:rPr>
          <w:rFonts w:ascii="Times New Roman" w:hAnsi="Times New Roman" w:cs="Times New Roman"/>
          <w:sz w:val="24"/>
          <w:szCs w:val="24"/>
        </w:rPr>
        <w:t>he CLT approximately emitted 125 tons.</w:t>
      </w:r>
    </w:p>
    <w:p w:rsidR="003F5022" w:rsidRDefault="00C35266" w:rsidP="002D4CBF">
      <w:pPr>
        <w:autoSpaceDE w:val="0"/>
        <w:autoSpaceDN w:val="0"/>
        <w:adjustRightInd w:val="0"/>
        <w:spacing w:after="0" w:line="480" w:lineRule="auto"/>
        <w:ind w:firstLine="720"/>
        <w:rPr>
          <w:rFonts w:ascii="Times New Roman" w:hAnsi="Times New Roman" w:cs="Times New Roman"/>
          <w:sz w:val="24"/>
          <w:szCs w:val="24"/>
        </w:rPr>
      </w:pPr>
      <w:r w:rsidRPr="003502E8">
        <w:rPr>
          <w:rFonts w:ascii="Times New Roman" w:hAnsi="Times New Roman" w:cs="Times New Roman"/>
          <w:sz w:val="24"/>
          <w:szCs w:val="24"/>
        </w:rPr>
        <w:t>The operations stage is where most of the variables change. Since the previously cited studies were done in China, the</w:t>
      </w:r>
      <w:r w:rsidR="0083435D" w:rsidRPr="003502E8">
        <w:rPr>
          <w:rFonts w:ascii="Times New Roman" w:hAnsi="Times New Roman" w:cs="Times New Roman"/>
          <w:sz w:val="24"/>
          <w:szCs w:val="24"/>
        </w:rPr>
        <w:t xml:space="preserve"> energy simulations used weather da</w:t>
      </w:r>
      <w:r w:rsidR="00E726FE" w:rsidRPr="003502E8">
        <w:rPr>
          <w:rFonts w:ascii="Times New Roman" w:hAnsi="Times New Roman" w:cs="Times New Roman"/>
          <w:sz w:val="24"/>
          <w:szCs w:val="24"/>
        </w:rPr>
        <w:t xml:space="preserve">ta from Chinese climate zones. As a result, the simulation data </w:t>
      </w:r>
      <w:r w:rsidR="00E86095">
        <w:rPr>
          <w:rFonts w:ascii="Times New Roman" w:hAnsi="Times New Roman" w:cs="Times New Roman"/>
          <w:sz w:val="24"/>
          <w:szCs w:val="24"/>
        </w:rPr>
        <w:t>could not</w:t>
      </w:r>
      <w:r w:rsidR="00E726FE" w:rsidRPr="003502E8">
        <w:rPr>
          <w:rFonts w:ascii="Times New Roman" w:hAnsi="Times New Roman" w:cs="Times New Roman"/>
          <w:sz w:val="24"/>
          <w:szCs w:val="24"/>
        </w:rPr>
        <w:t xml:space="preserve"> be directly translated to suit US based studies.</w:t>
      </w:r>
      <w:r w:rsidR="00267045" w:rsidRPr="003502E8">
        <w:rPr>
          <w:rFonts w:ascii="Times New Roman" w:hAnsi="Times New Roman" w:cs="Times New Roman"/>
          <w:sz w:val="24"/>
          <w:szCs w:val="24"/>
        </w:rPr>
        <w:t xml:space="preserve"> In </w:t>
      </w:r>
      <w:r w:rsidR="003F5022">
        <w:rPr>
          <w:rFonts w:ascii="Times New Roman" w:hAnsi="Times New Roman" w:cs="Times New Roman"/>
          <w:sz w:val="24"/>
          <w:szCs w:val="24"/>
        </w:rPr>
        <w:t>an effort</w:t>
      </w:r>
      <w:r w:rsidR="00267045" w:rsidRPr="003502E8">
        <w:rPr>
          <w:rFonts w:ascii="Times New Roman" w:hAnsi="Times New Roman" w:cs="Times New Roman"/>
          <w:sz w:val="24"/>
          <w:szCs w:val="24"/>
        </w:rPr>
        <w:t xml:space="preserve"> to prov</w:t>
      </w:r>
      <w:r w:rsidR="00E33B82" w:rsidRPr="003502E8">
        <w:rPr>
          <w:rFonts w:ascii="Times New Roman" w:hAnsi="Times New Roman" w:cs="Times New Roman"/>
          <w:sz w:val="24"/>
          <w:szCs w:val="24"/>
        </w:rPr>
        <w:t>ide a</w:t>
      </w:r>
      <w:r w:rsidR="005E692F" w:rsidRPr="003502E8">
        <w:rPr>
          <w:rFonts w:ascii="Times New Roman" w:hAnsi="Times New Roman" w:cs="Times New Roman"/>
          <w:sz w:val="24"/>
          <w:szCs w:val="24"/>
        </w:rPr>
        <w:t xml:space="preserve"> better</w:t>
      </w:r>
      <w:r w:rsidR="00E33B82" w:rsidRPr="003502E8">
        <w:rPr>
          <w:rFonts w:ascii="Times New Roman" w:hAnsi="Times New Roman" w:cs="Times New Roman"/>
          <w:sz w:val="24"/>
          <w:szCs w:val="24"/>
        </w:rPr>
        <w:t xml:space="preserve"> comparison, </w:t>
      </w:r>
      <w:r w:rsidR="00AC48F0" w:rsidRPr="003502E8">
        <w:rPr>
          <w:rFonts w:ascii="Times New Roman" w:hAnsi="Times New Roman" w:cs="Times New Roman"/>
          <w:sz w:val="24"/>
          <w:szCs w:val="24"/>
        </w:rPr>
        <w:t>10</w:t>
      </w:r>
      <w:r w:rsidR="005E692F" w:rsidRPr="003502E8">
        <w:rPr>
          <w:rFonts w:ascii="Times New Roman" w:hAnsi="Times New Roman" w:cs="Times New Roman"/>
          <w:sz w:val="24"/>
          <w:szCs w:val="24"/>
        </w:rPr>
        <w:t xml:space="preserve"> </w:t>
      </w:r>
      <w:r w:rsidR="0014383A" w:rsidRPr="003502E8">
        <w:rPr>
          <w:rFonts w:ascii="Times New Roman" w:hAnsi="Times New Roman" w:cs="Times New Roman"/>
          <w:sz w:val="24"/>
          <w:szCs w:val="24"/>
        </w:rPr>
        <w:t xml:space="preserve">evenly dispersed </w:t>
      </w:r>
      <w:r w:rsidR="00E33B82" w:rsidRPr="003502E8">
        <w:rPr>
          <w:rFonts w:ascii="Times New Roman" w:hAnsi="Times New Roman" w:cs="Times New Roman"/>
          <w:sz w:val="24"/>
          <w:szCs w:val="24"/>
        </w:rPr>
        <w:t xml:space="preserve">US cities </w:t>
      </w:r>
      <w:r w:rsidR="003F5022">
        <w:rPr>
          <w:rFonts w:ascii="Times New Roman" w:hAnsi="Times New Roman" w:cs="Times New Roman"/>
          <w:sz w:val="24"/>
          <w:szCs w:val="24"/>
        </w:rPr>
        <w:t>were</w:t>
      </w:r>
      <w:r w:rsidR="00E33B82" w:rsidRPr="003502E8">
        <w:rPr>
          <w:rFonts w:ascii="Times New Roman" w:hAnsi="Times New Roman" w:cs="Times New Roman"/>
          <w:sz w:val="24"/>
          <w:szCs w:val="24"/>
        </w:rPr>
        <w:t xml:space="preserve"> categorized into the</w:t>
      </w:r>
      <w:r w:rsidR="003F5022">
        <w:rPr>
          <w:rFonts w:ascii="Times New Roman" w:hAnsi="Times New Roman" w:cs="Times New Roman"/>
          <w:sz w:val="24"/>
          <w:szCs w:val="24"/>
        </w:rPr>
        <w:t xml:space="preserve"> </w:t>
      </w:r>
      <w:r w:rsidR="00E33B82" w:rsidRPr="003502E8">
        <w:rPr>
          <w:rFonts w:ascii="Times New Roman" w:hAnsi="Times New Roman" w:cs="Times New Roman"/>
          <w:sz w:val="24"/>
          <w:szCs w:val="24"/>
        </w:rPr>
        <w:t xml:space="preserve">five climate zones </w:t>
      </w:r>
      <w:r w:rsidR="00AC48F0" w:rsidRPr="003502E8">
        <w:rPr>
          <w:rFonts w:ascii="Times New Roman" w:hAnsi="Times New Roman" w:cs="Times New Roman"/>
          <w:sz w:val="24"/>
          <w:szCs w:val="24"/>
        </w:rPr>
        <w:t>studied in Guo et al. [2017]</w:t>
      </w:r>
      <w:r w:rsidR="006448F7" w:rsidRPr="003502E8">
        <w:rPr>
          <w:rFonts w:ascii="Times New Roman" w:hAnsi="Times New Roman" w:cs="Times New Roman"/>
          <w:sz w:val="24"/>
          <w:szCs w:val="24"/>
        </w:rPr>
        <w:t xml:space="preserve"> using the criteria specified in that paper.</w:t>
      </w:r>
      <w:r w:rsidR="003F5022">
        <w:rPr>
          <w:rFonts w:ascii="Times New Roman" w:hAnsi="Times New Roman" w:cs="Times New Roman"/>
          <w:sz w:val="24"/>
          <w:szCs w:val="24"/>
        </w:rPr>
        <w:t xml:space="preserve"> They were then matched with their Chinese counterparts using weather data.</w:t>
      </w:r>
      <w:r w:rsidR="006448F7" w:rsidRPr="003502E8">
        <w:rPr>
          <w:rFonts w:ascii="Times New Roman" w:hAnsi="Times New Roman" w:cs="Times New Roman"/>
          <w:sz w:val="24"/>
          <w:szCs w:val="24"/>
        </w:rPr>
        <w:t xml:space="preserve"> The cities’ locations</w:t>
      </w:r>
      <w:r w:rsidR="00AC48F0" w:rsidRPr="003502E8">
        <w:rPr>
          <w:rFonts w:ascii="Times New Roman" w:hAnsi="Times New Roman" w:cs="Times New Roman"/>
          <w:sz w:val="24"/>
          <w:szCs w:val="24"/>
        </w:rPr>
        <w:t xml:space="preserve"> are shown in Figu</w:t>
      </w:r>
      <w:r w:rsidR="00F824A3">
        <w:rPr>
          <w:rFonts w:ascii="Times New Roman" w:hAnsi="Times New Roman" w:cs="Times New Roman"/>
          <w:sz w:val="24"/>
          <w:szCs w:val="24"/>
        </w:rPr>
        <w:t>re 5 and the operations data is shown in Figure 6.</w:t>
      </w:r>
    </w:p>
    <w:p w:rsidR="00C16307" w:rsidRDefault="003F5022" w:rsidP="002D4CBF">
      <w:pPr>
        <w:autoSpaceDE w:val="0"/>
        <w:autoSpaceDN w:val="0"/>
        <w:adjustRightInd w:val="0"/>
        <w:spacing w:after="0" w:line="480" w:lineRule="auto"/>
        <w:ind w:firstLine="720"/>
        <w:rPr>
          <w:rFonts w:ascii="Times New Roman" w:hAnsi="Times New Roman" w:cs="Times New Roman"/>
          <w:noProof/>
          <w:sz w:val="24"/>
          <w:szCs w:val="24"/>
        </w:rPr>
      </w:pPr>
      <w:r w:rsidRPr="003502E8">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margin">
              <wp:posOffset>301477</wp:posOffset>
            </wp:positionH>
            <wp:positionV relativeFrom="paragraph">
              <wp:posOffset>425450</wp:posOffset>
            </wp:positionV>
            <wp:extent cx="5276850" cy="3289300"/>
            <wp:effectExtent l="0" t="0" r="0" b="635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76850" cy="3289300"/>
                    </a:xfrm>
                    <a:prstGeom prst="rect">
                      <a:avLst/>
                    </a:prstGeom>
                  </pic:spPr>
                </pic:pic>
              </a:graphicData>
            </a:graphic>
          </wp:anchor>
        </w:drawing>
      </w:r>
      <w:r w:rsidR="00AC48F0" w:rsidRPr="003502E8">
        <w:rPr>
          <w:rFonts w:ascii="Times New Roman" w:hAnsi="Times New Roman" w:cs="Times New Roman"/>
          <w:noProof/>
          <w:sz w:val="24"/>
          <w:szCs w:val="24"/>
        </w:rPr>
        <w:t xml:space="preserve"> </w:t>
      </w:r>
    </w:p>
    <w:p w:rsidR="003F5022" w:rsidRPr="003502E8" w:rsidRDefault="003F5022" w:rsidP="002D4CBF">
      <w:pPr>
        <w:autoSpaceDE w:val="0"/>
        <w:autoSpaceDN w:val="0"/>
        <w:adjustRightInd w:val="0"/>
        <w:spacing w:after="0" w:line="480" w:lineRule="auto"/>
        <w:ind w:firstLine="720"/>
        <w:rPr>
          <w:rFonts w:ascii="Times New Roman" w:hAnsi="Times New Roman" w:cs="Times New Roman"/>
          <w:noProof/>
          <w:sz w:val="24"/>
          <w:szCs w:val="24"/>
        </w:rPr>
      </w:pPr>
    </w:p>
    <w:p w:rsidR="003F5022" w:rsidRDefault="00AC48F0" w:rsidP="003F5022">
      <w:pPr>
        <w:autoSpaceDE w:val="0"/>
        <w:autoSpaceDN w:val="0"/>
        <w:adjustRightInd w:val="0"/>
        <w:spacing w:after="0" w:line="360" w:lineRule="auto"/>
        <w:jc w:val="center"/>
        <w:rPr>
          <w:noProof/>
        </w:rPr>
      </w:pPr>
      <w:r w:rsidRPr="003502E8">
        <w:rPr>
          <w:rFonts w:ascii="Times New Roman" w:hAnsi="Times New Roman" w:cs="Times New Roman"/>
          <w:b/>
          <w:noProof/>
          <w:sz w:val="24"/>
          <w:szCs w:val="24"/>
        </w:rPr>
        <w:t xml:space="preserve">Figure 5: </w:t>
      </w:r>
      <w:r w:rsidRPr="003502E8">
        <w:rPr>
          <w:rFonts w:ascii="Times New Roman" w:hAnsi="Times New Roman" w:cs="Times New Roman"/>
          <w:noProof/>
          <w:sz w:val="24"/>
          <w:szCs w:val="24"/>
        </w:rPr>
        <w:t>locations of the 10 cities studied for operations stage energy usage. These cities are: Seattle, Los Angeles, Salt Lake City, Santa Fe, Bismarck, Topeka, Austin, Indianapolis, Tallahassee, New York</w:t>
      </w:r>
      <w:r w:rsidR="00C13B9A" w:rsidRPr="003502E8">
        <w:rPr>
          <w:rFonts w:ascii="Times New Roman" w:hAnsi="Times New Roman" w:cs="Times New Roman"/>
          <w:noProof/>
          <w:sz w:val="24"/>
          <w:szCs w:val="24"/>
        </w:rPr>
        <w:t xml:space="preserve"> City</w:t>
      </w:r>
      <w:r w:rsidRPr="003502E8">
        <w:rPr>
          <w:rFonts w:ascii="Times New Roman" w:hAnsi="Times New Roman" w:cs="Times New Roman"/>
          <w:noProof/>
          <w:sz w:val="24"/>
          <w:szCs w:val="24"/>
        </w:rPr>
        <w:t>.</w:t>
      </w:r>
      <w:r w:rsidR="002D4CBF">
        <w:rPr>
          <w:noProof/>
        </w:rPr>
        <w:drawing>
          <wp:inline distT="0" distB="0" distL="0" distR="0" wp14:anchorId="3028297D" wp14:editId="3061331B">
            <wp:extent cx="5061098" cy="2551814"/>
            <wp:effectExtent l="0" t="0" r="6350" b="1270"/>
            <wp:docPr id="19" name="Chart 19">
              <a:extLst xmlns:a="http://schemas.openxmlformats.org/drawingml/2006/main">
                <a:ext uri="{FF2B5EF4-FFF2-40B4-BE49-F238E27FC236}">
                  <a16:creationId xmlns:a16="http://schemas.microsoft.com/office/drawing/2014/main" id="{51EA4D40-9347-4157-A8A3-E0F59D0AB1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D4CBF" w:rsidRPr="002D4CBF">
        <w:rPr>
          <w:noProof/>
        </w:rPr>
        <w:t xml:space="preserve"> </w:t>
      </w:r>
    </w:p>
    <w:p w:rsidR="00807AC3" w:rsidRPr="003502E8" w:rsidRDefault="002D4CBF" w:rsidP="003F5022">
      <w:pPr>
        <w:autoSpaceDE w:val="0"/>
        <w:autoSpaceDN w:val="0"/>
        <w:adjustRightInd w:val="0"/>
        <w:spacing w:after="0" w:line="360" w:lineRule="auto"/>
        <w:jc w:val="center"/>
        <w:rPr>
          <w:rFonts w:ascii="Times New Roman" w:hAnsi="Times New Roman" w:cs="Times New Roman"/>
          <w:noProof/>
          <w:sz w:val="24"/>
          <w:szCs w:val="24"/>
        </w:rPr>
      </w:pPr>
      <w:r>
        <w:rPr>
          <w:noProof/>
        </w:rPr>
        <w:lastRenderedPageBreak/>
        <w:drawing>
          <wp:inline distT="0" distB="0" distL="0" distR="0" wp14:anchorId="7E5DDF9F" wp14:editId="51F4393D">
            <wp:extent cx="4912241" cy="2679405"/>
            <wp:effectExtent l="0" t="0" r="3175" b="6985"/>
            <wp:docPr id="20" name="Chart 20">
              <a:extLst xmlns:a="http://schemas.openxmlformats.org/drawingml/2006/main">
                <a:ext uri="{FF2B5EF4-FFF2-40B4-BE49-F238E27FC236}">
                  <a16:creationId xmlns:a16="http://schemas.microsoft.com/office/drawing/2014/main" id="{8DC19962-E9EB-4674-B57A-7AF0D14FBC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7AC3" w:rsidRDefault="00807AC3" w:rsidP="00807AC3">
      <w:pPr>
        <w:autoSpaceDE w:val="0"/>
        <w:autoSpaceDN w:val="0"/>
        <w:adjustRightInd w:val="0"/>
        <w:spacing w:after="0" w:line="480" w:lineRule="auto"/>
        <w:jc w:val="center"/>
        <w:rPr>
          <w:rFonts w:ascii="Times New Roman" w:hAnsi="Times New Roman" w:cs="Times New Roman"/>
          <w:sz w:val="24"/>
          <w:szCs w:val="24"/>
        </w:rPr>
      </w:pPr>
      <w:r w:rsidRPr="003502E8">
        <w:rPr>
          <w:rFonts w:ascii="Times New Roman" w:hAnsi="Times New Roman" w:cs="Times New Roman"/>
          <w:b/>
          <w:sz w:val="24"/>
          <w:szCs w:val="24"/>
        </w:rPr>
        <w:t xml:space="preserve">Figure 6: </w:t>
      </w:r>
      <w:r w:rsidR="007D25CA">
        <w:rPr>
          <w:rFonts w:ascii="Times New Roman" w:hAnsi="Times New Roman" w:cs="Times New Roman"/>
          <w:sz w:val="24"/>
          <w:szCs w:val="24"/>
        </w:rPr>
        <w:t>Energy c</w:t>
      </w:r>
      <w:r w:rsidRPr="003502E8">
        <w:rPr>
          <w:rFonts w:ascii="Times New Roman" w:hAnsi="Times New Roman" w:cs="Times New Roman"/>
          <w:sz w:val="24"/>
          <w:szCs w:val="24"/>
        </w:rPr>
        <w:t>onsumption</w:t>
      </w:r>
      <w:r w:rsidR="007D25CA">
        <w:rPr>
          <w:rFonts w:ascii="Times New Roman" w:hAnsi="Times New Roman" w:cs="Times New Roman"/>
          <w:sz w:val="24"/>
          <w:szCs w:val="24"/>
        </w:rPr>
        <w:t xml:space="preserve"> and carbon emissions</w:t>
      </w:r>
      <w:r w:rsidRPr="003502E8">
        <w:rPr>
          <w:rFonts w:ascii="Times New Roman" w:hAnsi="Times New Roman" w:cs="Times New Roman"/>
          <w:sz w:val="24"/>
          <w:szCs w:val="24"/>
        </w:rPr>
        <w:t xml:space="preserve"> during operation’s stage</w:t>
      </w:r>
      <w:r w:rsidR="002F1EF2">
        <w:rPr>
          <w:rFonts w:ascii="Times New Roman" w:hAnsi="Times New Roman" w:cs="Times New Roman"/>
          <w:sz w:val="24"/>
          <w:szCs w:val="24"/>
        </w:rPr>
        <w:t xml:space="preserve"> per year.</w:t>
      </w:r>
    </w:p>
    <w:p w:rsidR="002D4CBF" w:rsidRDefault="002D4CBF" w:rsidP="002D4CB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shown in </w:t>
      </w:r>
      <w:r w:rsidR="0062433F">
        <w:rPr>
          <w:rFonts w:ascii="Times New Roman" w:hAnsi="Times New Roman" w:cs="Times New Roman"/>
          <w:sz w:val="24"/>
          <w:szCs w:val="24"/>
        </w:rPr>
        <w:t xml:space="preserve">Figure 6, emissions and consumption during the operation’s stage of a building depends on the location of it. The cross-laminated timber version of the building always used less energy and emitted less </w:t>
      </w:r>
      <w:r w:rsidR="00DB515D">
        <w:rPr>
          <w:rFonts w:ascii="Times New Roman" w:hAnsi="Times New Roman" w:cs="Times New Roman"/>
          <w:sz w:val="24"/>
          <w:szCs w:val="24"/>
        </w:rPr>
        <w:t>CO2</w:t>
      </w:r>
      <w:r w:rsidR="0062433F">
        <w:rPr>
          <w:rFonts w:ascii="Times New Roman" w:hAnsi="Times New Roman" w:cs="Times New Roman"/>
          <w:sz w:val="24"/>
          <w:szCs w:val="24"/>
        </w:rPr>
        <w:t xml:space="preserve"> than the reinforced concrete version regardless of the climate zone. The average for the difference in </w:t>
      </w:r>
      <w:r w:rsidR="00A1478A">
        <w:rPr>
          <w:rFonts w:ascii="Times New Roman" w:hAnsi="Times New Roman" w:cs="Times New Roman"/>
          <w:sz w:val="24"/>
          <w:szCs w:val="24"/>
        </w:rPr>
        <w:t>consumption</w:t>
      </w:r>
      <w:r w:rsidR="0062433F">
        <w:rPr>
          <w:rFonts w:ascii="Times New Roman" w:hAnsi="Times New Roman" w:cs="Times New Roman"/>
          <w:sz w:val="24"/>
          <w:szCs w:val="24"/>
        </w:rPr>
        <w:t xml:space="preserve"> and </w:t>
      </w:r>
      <w:r w:rsidR="00A1478A">
        <w:rPr>
          <w:rFonts w:ascii="Times New Roman" w:hAnsi="Times New Roman" w:cs="Times New Roman"/>
          <w:sz w:val="24"/>
          <w:szCs w:val="24"/>
        </w:rPr>
        <w:t>difference in emissions was 43.5 MJ/m^2 and 4 KG/m^2 respectively.</w:t>
      </w:r>
      <w:r w:rsidR="002F1EF2">
        <w:rPr>
          <w:rFonts w:ascii="Times New Roman" w:hAnsi="Times New Roman" w:cs="Times New Roman"/>
          <w:sz w:val="24"/>
          <w:szCs w:val="24"/>
        </w:rPr>
        <w:t xml:space="preserve"> </w:t>
      </w:r>
      <w:r w:rsidR="00697746">
        <w:rPr>
          <w:rFonts w:ascii="Times New Roman" w:hAnsi="Times New Roman" w:cs="Times New Roman"/>
          <w:sz w:val="24"/>
          <w:szCs w:val="24"/>
        </w:rPr>
        <w:t>Since</w:t>
      </w:r>
      <w:r w:rsidR="002F1EF2">
        <w:rPr>
          <w:rFonts w:ascii="Times New Roman" w:hAnsi="Times New Roman" w:cs="Times New Roman"/>
          <w:sz w:val="24"/>
          <w:szCs w:val="24"/>
        </w:rPr>
        <w:t xml:space="preserve"> the building’s </w:t>
      </w:r>
      <w:r w:rsidR="00ED479D">
        <w:rPr>
          <w:rFonts w:ascii="Times New Roman" w:hAnsi="Times New Roman" w:cs="Times New Roman"/>
          <w:sz w:val="24"/>
          <w:szCs w:val="24"/>
        </w:rPr>
        <w:t>net internal floor area is 2</w:t>
      </w:r>
      <w:r w:rsidR="00697746">
        <w:rPr>
          <w:rFonts w:ascii="Times New Roman" w:hAnsi="Times New Roman" w:cs="Times New Roman"/>
          <w:sz w:val="24"/>
          <w:szCs w:val="24"/>
        </w:rPr>
        <w:t>799.3 m^2, 121</w:t>
      </w:r>
      <w:r w:rsidR="0071314F">
        <w:rPr>
          <w:rFonts w:ascii="Times New Roman" w:hAnsi="Times New Roman" w:cs="Times New Roman"/>
          <w:sz w:val="24"/>
          <w:szCs w:val="24"/>
        </w:rPr>
        <w:t>.77 G</w:t>
      </w:r>
      <w:r w:rsidR="00697746">
        <w:rPr>
          <w:rFonts w:ascii="Times New Roman" w:hAnsi="Times New Roman" w:cs="Times New Roman"/>
          <w:sz w:val="24"/>
          <w:szCs w:val="24"/>
        </w:rPr>
        <w:t>J and 11</w:t>
      </w:r>
      <w:r w:rsidR="0071314F">
        <w:rPr>
          <w:rFonts w:ascii="Times New Roman" w:hAnsi="Times New Roman" w:cs="Times New Roman"/>
          <w:sz w:val="24"/>
          <w:szCs w:val="24"/>
        </w:rPr>
        <w:t>.2 tons</w:t>
      </w:r>
      <w:r w:rsidR="00697746">
        <w:rPr>
          <w:rFonts w:ascii="Times New Roman" w:hAnsi="Times New Roman" w:cs="Times New Roman"/>
          <w:sz w:val="24"/>
          <w:szCs w:val="24"/>
        </w:rPr>
        <w:t xml:space="preserve"> of </w:t>
      </w:r>
      <w:r w:rsidR="00DB515D">
        <w:rPr>
          <w:rFonts w:ascii="Times New Roman" w:hAnsi="Times New Roman" w:cs="Times New Roman"/>
          <w:sz w:val="24"/>
          <w:szCs w:val="24"/>
        </w:rPr>
        <w:t xml:space="preserve">CO2 </w:t>
      </w:r>
      <w:r w:rsidR="00697746">
        <w:rPr>
          <w:rFonts w:ascii="Times New Roman" w:hAnsi="Times New Roman" w:cs="Times New Roman"/>
          <w:sz w:val="24"/>
          <w:szCs w:val="24"/>
        </w:rPr>
        <w:t xml:space="preserve">can be saved per year. If the building’s life is assumed to be </w:t>
      </w:r>
      <w:r w:rsidR="00B8749B">
        <w:rPr>
          <w:rFonts w:ascii="Times New Roman" w:hAnsi="Times New Roman" w:cs="Times New Roman"/>
          <w:sz w:val="24"/>
          <w:szCs w:val="24"/>
        </w:rPr>
        <w:t>50 years,</w:t>
      </w:r>
      <w:r w:rsidR="00DB515D">
        <w:rPr>
          <w:rFonts w:ascii="Times New Roman" w:hAnsi="Times New Roman" w:cs="Times New Roman"/>
          <w:sz w:val="24"/>
          <w:szCs w:val="24"/>
        </w:rPr>
        <w:t xml:space="preserve"> an average of</w:t>
      </w:r>
      <w:r w:rsidR="00B8749B">
        <w:rPr>
          <w:rFonts w:ascii="Times New Roman" w:hAnsi="Times New Roman" w:cs="Times New Roman"/>
          <w:sz w:val="24"/>
          <w:szCs w:val="24"/>
        </w:rPr>
        <w:t xml:space="preserve"> 559.86 tons of CO2 </w:t>
      </w:r>
      <w:r w:rsidR="00697746">
        <w:rPr>
          <w:rFonts w:ascii="Times New Roman" w:hAnsi="Times New Roman" w:cs="Times New Roman"/>
          <w:sz w:val="24"/>
          <w:szCs w:val="24"/>
        </w:rPr>
        <w:t>and 6088.5 GJ of energy can be saved throughout its lifecycle.</w:t>
      </w:r>
    </w:p>
    <w:p w:rsidR="006448F7" w:rsidRPr="003502E8" w:rsidRDefault="00775BE1" w:rsidP="001A3AF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The end-of-life stage also showed the superiority of CLT for the environment. For the deconstruction/removal part of this stage</w:t>
      </w:r>
      <w:r w:rsidR="0071314F">
        <w:rPr>
          <w:rFonts w:ascii="Times New Roman" w:hAnsi="Times New Roman" w:cs="Times New Roman"/>
          <w:sz w:val="24"/>
          <w:szCs w:val="24"/>
        </w:rPr>
        <w:t>,</w:t>
      </w:r>
      <w:r>
        <w:rPr>
          <w:rFonts w:ascii="Times New Roman" w:hAnsi="Times New Roman" w:cs="Times New Roman"/>
          <w:sz w:val="24"/>
          <w:szCs w:val="24"/>
        </w:rPr>
        <w:t xml:space="preserve"> CLT structures required about 700 GJ as compared to concrete’s 1000 GJ. For </w:t>
      </w:r>
      <w:r w:rsidR="0071314F">
        <w:rPr>
          <w:rFonts w:ascii="Times New Roman" w:hAnsi="Times New Roman" w:cs="Times New Roman"/>
          <w:sz w:val="24"/>
          <w:szCs w:val="24"/>
        </w:rPr>
        <w:t xml:space="preserve">the </w:t>
      </w:r>
      <w:r>
        <w:rPr>
          <w:rFonts w:ascii="Times New Roman" w:hAnsi="Times New Roman" w:cs="Times New Roman"/>
          <w:sz w:val="24"/>
          <w:szCs w:val="24"/>
        </w:rPr>
        <w:t>CO2 emissi</w:t>
      </w:r>
      <w:r w:rsidR="007B357A">
        <w:rPr>
          <w:rFonts w:ascii="Times New Roman" w:hAnsi="Times New Roman" w:cs="Times New Roman"/>
          <w:sz w:val="24"/>
          <w:szCs w:val="24"/>
        </w:rPr>
        <w:t>ons, CLT structures required 100</w:t>
      </w:r>
      <w:r>
        <w:rPr>
          <w:rFonts w:ascii="Times New Roman" w:hAnsi="Times New Roman" w:cs="Times New Roman"/>
          <w:sz w:val="24"/>
          <w:szCs w:val="24"/>
        </w:rPr>
        <w:t xml:space="preserve"> tons versus concrete’s 250 tons (Liu et al. 2015). </w:t>
      </w:r>
      <w:r w:rsidR="00091208">
        <w:rPr>
          <w:rFonts w:ascii="Times New Roman" w:hAnsi="Times New Roman" w:cs="Times New Roman"/>
          <w:sz w:val="24"/>
          <w:szCs w:val="24"/>
        </w:rPr>
        <w:t xml:space="preserve">When taking disposal into account, the numbers were even more impressive. The CLT in the structure can either be recycled or used as biofuel. </w:t>
      </w:r>
      <w:r w:rsidR="00E234A0">
        <w:rPr>
          <w:rFonts w:ascii="Times New Roman" w:hAnsi="Times New Roman" w:cs="Times New Roman"/>
          <w:sz w:val="24"/>
          <w:szCs w:val="24"/>
        </w:rPr>
        <w:t>This study assumes 45% of it was used as biofuel and 55% was recycled.</w:t>
      </w:r>
      <w:r w:rsidR="003B7664">
        <w:rPr>
          <w:rFonts w:ascii="Times New Roman" w:hAnsi="Times New Roman" w:cs="Times New Roman"/>
          <w:sz w:val="24"/>
          <w:szCs w:val="24"/>
        </w:rPr>
        <w:t xml:space="preserve"> </w:t>
      </w:r>
      <w:r w:rsidR="00CE0BDF">
        <w:rPr>
          <w:rFonts w:ascii="Times New Roman" w:hAnsi="Times New Roman" w:cs="Times New Roman"/>
          <w:sz w:val="24"/>
          <w:szCs w:val="24"/>
        </w:rPr>
        <w:t xml:space="preserve">Liu et al. [2015] </w:t>
      </w:r>
      <w:r w:rsidR="00BD55BA">
        <w:rPr>
          <w:rFonts w:ascii="Times New Roman" w:hAnsi="Times New Roman" w:cs="Times New Roman"/>
          <w:sz w:val="24"/>
          <w:szCs w:val="24"/>
        </w:rPr>
        <w:t>concluded</w:t>
      </w:r>
      <w:r w:rsidR="00CE0BDF">
        <w:rPr>
          <w:rFonts w:ascii="Times New Roman" w:hAnsi="Times New Roman" w:cs="Times New Roman"/>
          <w:sz w:val="24"/>
          <w:szCs w:val="24"/>
        </w:rPr>
        <w:t xml:space="preserve"> that </w:t>
      </w:r>
      <w:r w:rsidR="00CE0BDF">
        <w:rPr>
          <w:rFonts w:ascii="Times New Roman" w:hAnsi="Times New Roman" w:cs="Times New Roman"/>
          <w:sz w:val="24"/>
          <w:szCs w:val="24"/>
        </w:rPr>
        <w:lastRenderedPageBreak/>
        <w:t>the energy recovery from using</w:t>
      </w:r>
      <w:r w:rsidR="00BD55BA">
        <w:rPr>
          <w:rFonts w:ascii="Times New Roman" w:hAnsi="Times New Roman" w:cs="Times New Roman"/>
          <w:sz w:val="24"/>
          <w:szCs w:val="24"/>
        </w:rPr>
        <w:t xml:space="preserve"> 45% of the</w:t>
      </w:r>
      <w:r w:rsidR="00CE0BDF">
        <w:rPr>
          <w:rFonts w:ascii="Times New Roman" w:hAnsi="Times New Roman" w:cs="Times New Roman"/>
          <w:sz w:val="24"/>
          <w:szCs w:val="24"/>
        </w:rPr>
        <w:t xml:space="preserve"> CLT as biofuel was 4000 GJ. The study also determined that with a 55% recycle ratio, 606.24 tons of CO2 could be</w:t>
      </w:r>
      <w:r w:rsidR="007E0053">
        <w:rPr>
          <w:rFonts w:ascii="Times New Roman" w:hAnsi="Times New Roman" w:cs="Times New Roman"/>
          <w:sz w:val="24"/>
          <w:szCs w:val="24"/>
        </w:rPr>
        <w:t xml:space="preserve"> reduced</w:t>
      </w:r>
      <w:r w:rsidR="00CE0BDF">
        <w:rPr>
          <w:rFonts w:ascii="Times New Roman" w:hAnsi="Times New Roman" w:cs="Times New Roman"/>
          <w:sz w:val="24"/>
          <w:szCs w:val="24"/>
        </w:rPr>
        <w:t>.</w:t>
      </w:r>
    </w:p>
    <w:p w:rsidR="006448F7" w:rsidRDefault="007B357A" w:rsidP="001A3AFD">
      <w:pPr>
        <w:autoSpaceDE w:val="0"/>
        <w:autoSpaceDN w:val="0"/>
        <w:adjustRightInd w:val="0"/>
        <w:spacing w:after="0" w:line="480" w:lineRule="auto"/>
        <w:rPr>
          <w:rFonts w:ascii="Times New Roman" w:hAnsi="Times New Roman" w:cs="Times New Roman"/>
          <w:sz w:val="24"/>
          <w:szCs w:val="24"/>
        </w:rPr>
      </w:pPr>
      <w:r>
        <w:rPr>
          <w:noProof/>
        </w:rPr>
        <w:drawing>
          <wp:inline distT="0" distB="0" distL="0" distR="0" wp14:anchorId="20A83235" wp14:editId="6F9AD3E6">
            <wp:extent cx="5793740" cy="3030161"/>
            <wp:effectExtent l="0" t="0" r="16510" b="18415"/>
            <wp:docPr id="9" name="Chart 9">
              <a:extLst xmlns:a="http://schemas.openxmlformats.org/drawingml/2006/main">
                <a:ext uri="{FF2B5EF4-FFF2-40B4-BE49-F238E27FC236}">
                  <a16:creationId xmlns:a16="http://schemas.microsoft.com/office/drawing/2014/main" id="{1D0C61F1-217C-42B4-B51C-45B4708585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48F7" w:rsidRPr="003502E8" w:rsidRDefault="00636474" w:rsidP="003F5022">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Figure 7: </w:t>
      </w:r>
      <w:r>
        <w:rPr>
          <w:rFonts w:ascii="Times New Roman" w:hAnsi="Times New Roman" w:cs="Times New Roman"/>
          <w:sz w:val="24"/>
          <w:szCs w:val="24"/>
        </w:rPr>
        <w:t>A comparison of energy consumption between concrete and cross-laminated timber buildings throughout their life cycles.</w:t>
      </w:r>
    </w:p>
    <w:p w:rsidR="006448F7" w:rsidRPr="003502E8" w:rsidRDefault="00636474" w:rsidP="005A553A">
      <w:pPr>
        <w:autoSpaceDE w:val="0"/>
        <w:autoSpaceDN w:val="0"/>
        <w:adjustRightInd w:val="0"/>
        <w:spacing w:after="0" w:line="480" w:lineRule="auto"/>
        <w:jc w:val="center"/>
        <w:rPr>
          <w:rFonts w:ascii="Times New Roman" w:hAnsi="Times New Roman" w:cs="Times New Roman"/>
          <w:sz w:val="24"/>
          <w:szCs w:val="24"/>
        </w:rPr>
      </w:pPr>
      <w:r>
        <w:rPr>
          <w:noProof/>
        </w:rPr>
        <w:drawing>
          <wp:inline distT="0" distB="0" distL="0" distR="0" wp14:anchorId="19F356F1" wp14:editId="6A651C56">
            <wp:extent cx="5655945" cy="2849157"/>
            <wp:effectExtent l="0" t="0" r="1905" b="8890"/>
            <wp:docPr id="10" name="Chart 10">
              <a:extLst xmlns:a="http://schemas.openxmlformats.org/drawingml/2006/main">
                <a:ext uri="{FF2B5EF4-FFF2-40B4-BE49-F238E27FC236}">
                  <a16:creationId xmlns:a16="http://schemas.microsoft.com/office/drawing/2014/main" id="{A0DBD5FD-6ADF-41B0-80E6-589142031F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48F7" w:rsidRDefault="00636474" w:rsidP="00636474">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sz w:val="24"/>
          <w:szCs w:val="24"/>
        </w:rPr>
        <w:t>Figure 8:</w:t>
      </w:r>
      <w:r>
        <w:rPr>
          <w:rFonts w:ascii="Times New Roman" w:hAnsi="Times New Roman" w:cs="Times New Roman"/>
          <w:sz w:val="24"/>
          <w:szCs w:val="24"/>
        </w:rPr>
        <w:t xml:space="preserve"> A comparison of carbon dioxide emissions between concrete and cross-laminated timber buildings throughout their lifecycles.</w:t>
      </w:r>
    </w:p>
    <w:p w:rsidR="00274B3F" w:rsidRDefault="00366436" w:rsidP="00274B3F">
      <w:pPr>
        <w:spacing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ab/>
      </w:r>
      <w:r w:rsidRPr="00274B3F">
        <w:rPr>
          <w:rFonts w:ascii="Times New Roman" w:hAnsi="Times New Roman" w:cs="Times New Roman"/>
          <w:sz w:val="24"/>
          <w:szCs w:val="24"/>
        </w:rPr>
        <w:t>As shown in Figures 7 &amp; 8, the CLT version was undoubtedly more environmentally friendly than its concrete counterpart.</w:t>
      </w:r>
      <w:r w:rsidR="00274B3F" w:rsidRPr="00274B3F">
        <w:rPr>
          <w:rFonts w:ascii="Times New Roman" w:hAnsi="Times New Roman" w:cs="Times New Roman"/>
          <w:sz w:val="24"/>
          <w:szCs w:val="24"/>
        </w:rPr>
        <w:t xml:space="preserve"> An average of the difference in energy consumption in the ten cities showed </w:t>
      </w:r>
      <w:r w:rsidR="00274B3F" w:rsidRPr="00274B3F">
        <w:rPr>
          <w:rFonts w:ascii="Times New Roman" w:eastAsia="Times New Roman" w:hAnsi="Times New Roman" w:cs="Times New Roman"/>
          <w:color w:val="000000"/>
          <w:sz w:val="24"/>
          <w:szCs w:val="24"/>
        </w:rPr>
        <w:t>12387.81 GJ could be saved. Additionally, 1591.03 tons of CO2 can be reduced according to this data.</w:t>
      </w:r>
    </w:p>
    <w:p w:rsidR="007E1017" w:rsidRDefault="007E1017" w:rsidP="00274B3F">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Discussion</w:t>
      </w:r>
    </w:p>
    <w:p w:rsidR="00A22805" w:rsidRDefault="007E1017" w:rsidP="00274B3F">
      <w:pPr>
        <w:spacing w:line="480" w:lineRule="auto"/>
        <w:rPr>
          <w:noProof/>
        </w:rPr>
      </w:pPr>
      <w:r>
        <w:rPr>
          <w:rFonts w:ascii="Times New Roman" w:eastAsia="Times New Roman" w:hAnsi="Times New Roman" w:cs="Times New Roman"/>
          <w:b/>
          <w:color w:val="000000"/>
          <w:sz w:val="24"/>
          <w:szCs w:val="24"/>
        </w:rPr>
        <w:tab/>
      </w:r>
      <w:r w:rsidR="008F6AF6">
        <w:rPr>
          <w:rFonts w:ascii="Times New Roman" w:eastAsia="Times New Roman" w:hAnsi="Times New Roman" w:cs="Times New Roman"/>
          <w:color w:val="000000"/>
          <w:sz w:val="24"/>
          <w:szCs w:val="24"/>
        </w:rPr>
        <w:t>On average, the CLT versions came out to require 48% of the energy that the concrete versions required.</w:t>
      </w:r>
      <w:r w:rsidR="00620F7C">
        <w:rPr>
          <w:rFonts w:ascii="Times New Roman" w:eastAsia="Times New Roman" w:hAnsi="Times New Roman" w:cs="Times New Roman"/>
          <w:color w:val="000000"/>
          <w:sz w:val="24"/>
          <w:szCs w:val="24"/>
        </w:rPr>
        <w:t xml:space="preserve"> They also saved 54% of the carbon dioxide emitted from their reinforced concrete counterparts. This figure is slightly lower than the results obtained in Darby et al. [2013] which reported that 61% of carbon emissions can be reduced when using CLT for multi-story residential buildings as opposed to concrete. </w:t>
      </w:r>
      <w:r w:rsidR="00B80595">
        <w:rPr>
          <w:rFonts w:ascii="Times New Roman" w:eastAsia="Times New Roman" w:hAnsi="Times New Roman" w:cs="Times New Roman"/>
          <w:color w:val="000000"/>
          <w:sz w:val="24"/>
          <w:szCs w:val="24"/>
        </w:rPr>
        <w:t xml:space="preserve">On the other hand, Liu et al. [2015] arrived at the conclusion that 34% energy consumption would be saved and 44% carbon emissions would be reduced. </w:t>
      </w:r>
      <w:r w:rsidR="00B80595">
        <w:rPr>
          <w:rFonts w:ascii="Times New Roman" w:eastAsia="Times New Roman" w:hAnsi="Times New Roman" w:cs="Times New Roman"/>
          <w:color w:val="000000"/>
          <w:sz w:val="24"/>
          <w:szCs w:val="24"/>
        </w:rPr>
        <w:t xml:space="preserve">These </w:t>
      </w:r>
      <w:r w:rsidR="00620F7C">
        <w:rPr>
          <w:rFonts w:ascii="Times New Roman" w:eastAsia="Times New Roman" w:hAnsi="Times New Roman" w:cs="Times New Roman"/>
          <w:color w:val="000000"/>
          <w:sz w:val="24"/>
          <w:szCs w:val="24"/>
        </w:rPr>
        <w:t>deviation</w:t>
      </w:r>
      <w:r w:rsidR="00B80595">
        <w:rPr>
          <w:rFonts w:ascii="Times New Roman" w:eastAsia="Times New Roman" w:hAnsi="Times New Roman" w:cs="Times New Roman"/>
          <w:color w:val="000000"/>
          <w:sz w:val="24"/>
          <w:szCs w:val="24"/>
        </w:rPr>
        <w:t>s</w:t>
      </w:r>
      <w:r w:rsidR="00620F7C">
        <w:rPr>
          <w:rFonts w:ascii="Times New Roman" w:eastAsia="Times New Roman" w:hAnsi="Times New Roman" w:cs="Times New Roman"/>
          <w:color w:val="000000"/>
          <w:sz w:val="24"/>
          <w:szCs w:val="24"/>
        </w:rPr>
        <w:t xml:space="preserve"> could be due to</w:t>
      </w:r>
      <w:r w:rsidR="00B80595">
        <w:rPr>
          <w:rFonts w:ascii="Times New Roman" w:eastAsia="Times New Roman" w:hAnsi="Times New Roman" w:cs="Times New Roman"/>
          <w:color w:val="000000"/>
          <w:sz w:val="24"/>
          <w:szCs w:val="24"/>
        </w:rPr>
        <w:t xml:space="preserve"> a variety of factors including</w:t>
      </w:r>
      <w:r w:rsidR="00620F7C">
        <w:rPr>
          <w:rFonts w:ascii="Times New Roman" w:eastAsia="Times New Roman" w:hAnsi="Times New Roman" w:cs="Times New Roman"/>
          <w:color w:val="000000"/>
          <w:sz w:val="24"/>
          <w:szCs w:val="24"/>
        </w:rPr>
        <w:t xml:space="preserve"> di</w:t>
      </w:r>
      <w:r w:rsidR="00B80595">
        <w:rPr>
          <w:rFonts w:ascii="Times New Roman" w:eastAsia="Times New Roman" w:hAnsi="Times New Roman" w:cs="Times New Roman"/>
          <w:color w:val="000000"/>
          <w:sz w:val="24"/>
          <w:szCs w:val="24"/>
        </w:rPr>
        <w:t>fferent sizes of the buildings, simulated weather conditions, etc.</w:t>
      </w:r>
      <w:r w:rsidR="00800285" w:rsidRPr="00800285">
        <w:rPr>
          <w:noProof/>
        </w:rPr>
        <w:t xml:space="preserve"> </w:t>
      </w:r>
    </w:p>
    <w:p w:rsidR="008F6AF6" w:rsidRDefault="00800285" w:rsidP="00A22805">
      <w:pPr>
        <w:spacing w:line="480" w:lineRule="auto"/>
        <w:jc w:val="center"/>
        <w:rPr>
          <w:rFonts w:ascii="Times New Roman" w:eastAsia="Times New Roman" w:hAnsi="Times New Roman" w:cs="Times New Roman"/>
          <w:color w:val="000000"/>
          <w:sz w:val="24"/>
          <w:szCs w:val="24"/>
        </w:rPr>
      </w:pPr>
      <w:r>
        <w:rPr>
          <w:noProof/>
        </w:rPr>
        <w:drawing>
          <wp:inline distT="0" distB="0" distL="0" distR="0" wp14:anchorId="73B1B11A" wp14:editId="773C3261">
            <wp:extent cx="4686007" cy="2189285"/>
            <wp:effectExtent l="0" t="0" r="635" b="1905"/>
            <wp:docPr id="2" name="Chart 2">
              <a:extLst xmlns:a="http://schemas.openxmlformats.org/drawingml/2006/main">
                <a:ext uri="{FF2B5EF4-FFF2-40B4-BE49-F238E27FC236}">
                  <a16:creationId xmlns:a16="http://schemas.microsoft.com/office/drawing/2014/main" id="{30FEB422-C5F6-4132-AFA4-EA322753C2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2805" w:rsidRPr="00A22805" w:rsidRDefault="00A22805" w:rsidP="00A22805">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Figure 9: </w:t>
      </w:r>
      <w:r>
        <w:rPr>
          <w:rFonts w:ascii="Times New Roman" w:eastAsia="Times New Roman" w:hAnsi="Times New Roman" w:cs="Times New Roman"/>
          <w:color w:val="000000"/>
          <w:sz w:val="24"/>
          <w:szCs w:val="24"/>
        </w:rPr>
        <w:t>CLT building emissions and energy consumptions as percentages of the reinforced concrete versions.</w:t>
      </w:r>
    </w:p>
    <w:p w:rsidR="00620F7C" w:rsidRDefault="00B80595" w:rsidP="00274B3F">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Due to the</w:t>
      </w:r>
      <w:r w:rsidR="004D560C">
        <w:rPr>
          <w:rFonts w:ascii="Times New Roman" w:eastAsia="Times New Roman" w:hAnsi="Times New Roman" w:cs="Times New Roman"/>
          <w:color w:val="000000"/>
          <w:sz w:val="24"/>
          <w:szCs w:val="24"/>
        </w:rPr>
        <w:t xml:space="preserve">se variations in the results of different studies done on the same topic, it would be helpful </w:t>
      </w:r>
      <w:r w:rsidR="00A22805">
        <w:rPr>
          <w:rFonts w:ascii="Times New Roman" w:eastAsia="Times New Roman" w:hAnsi="Times New Roman" w:cs="Times New Roman"/>
          <w:color w:val="000000"/>
          <w:sz w:val="24"/>
          <w:szCs w:val="24"/>
        </w:rPr>
        <w:t xml:space="preserve">to </w:t>
      </w:r>
      <w:r w:rsidR="004D560C">
        <w:rPr>
          <w:rFonts w:ascii="Times New Roman" w:eastAsia="Times New Roman" w:hAnsi="Times New Roman" w:cs="Times New Roman"/>
          <w:color w:val="000000"/>
          <w:sz w:val="24"/>
          <w:szCs w:val="24"/>
        </w:rPr>
        <w:t xml:space="preserve">keep conducting them with varying factors. It would be interesting to see exactly how much the results from a life cycle assessment would differ with a taller building as compared to a shorter one. Conducting LCA’s with weather conditions taken from different parts of the world </w:t>
      </w:r>
      <w:r w:rsidR="005A3ED4">
        <w:rPr>
          <w:rFonts w:ascii="Times New Roman" w:eastAsia="Times New Roman" w:hAnsi="Times New Roman" w:cs="Times New Roman"/>
          <w:color w:val="000000"/>
          <w:sz w:val="24"/>
          <w:szCs w:val="24"/>
        </w:rPr>
        <w:t xml:space="preserve">or changing the recycling ratios </w:t>
      </w:r>
      <w:r w:rsidR="004D560C">
        <w:rPr>
          <w:rFonts w:ascii="Times New Roman" w:eastAsia="Times New Roman" w:hAnsi="Times New Roman" w:cs="Times New Roman"/>
          <w:color w:val="000000"/>
          <w:sz w:val="24"/>
          <w:szCs w:val="24"/>
        </w:rPr>
        <w:t xml:space="preserve">would be very useful as well. </w:t>
      </w:r>
    </w:p>
    <w:p w:rsidR="007D09FC" w:rsidRDefault="005A3ED4" w:rsidP="007D09FC">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E0B1C">
        <w:rPr>
          <w:rFonts w:ascii="Times New Roman" w:eastAsia="Times New Roman" w:hAnsi="Times New Roman" w:cs="Times New Roman"/>
          <w:color w:val="000000"/>
          <w:sz w:val="24"/>
          <w:szCs w:val="24"/>
        </w:rPr>
        <w:t xml:space="preserve">One of the things to consider in this study is the transportation distance. </w:t>
      </w:r>
      <w:r>
        <w:rPr>
          <w:rFonts w:ascii="Times New Roman" w:eastAsia="Times New Roman" w:hAnsi="Times New Roman" w:cs="Times New Roman"/>
          <w:color w:val="000000"/>
          <w:sz w:val="24"/>
          <w:szCs w:val="24"/>
        </w:rPr>
        <w:t>There is only o</w:t>
      </w:r>
      <w:r w:rsidR="00AE0B1C">
        <w:rPr>
          <w:rFonts w:ascii="Times New Roman" w:eastAsia="Times New Roman" w:hAnsi="Times New Roman" w:cs="Times New Roman"/>
          <w:color w:val="000000"/>
          <w:sz w:val="24"/>
          <w:szCs w:val="24"/>
        </w:rPr>
        <w:t xml:space="preserve">ne CLT factory in the U.S., and it is </w:t>
      </w:r>
      <w:r>
        <w:rPr>
          <w:rFonts w:ascii="Times New Roman" w:eastAsia="Times New Roman" w:hAnsi="Times New Roman" w:cs="Times New Roman"/>
          <w:color w:val="000000"/>
          <w:sz w:val="24"/>
          <w:szCs w:val="24"/>
        </w:rPr>
        <w:t>located in Oregon</w:t>
      </w:r>
      <w:r w:rsidR="00AE0B1C">
        <w:rPr>
          <w:rFonts w:ascii="Times New Roman" w:eastAsia="Times New Roman" w:hAnsi="Times New Roman" w:cs="Times New Roman"/>
          <w:color w:val="000000"/>
          <w:sz w:val="24"/>
          <w:szCs w:val="24"/>
        </w:rPr>
        <w:t xml:space="preserve"> so t</w:t>
      </w:r>
      <w:r>
        <w:rPr>
          <w:rFonts w:ascii="Times New Roman" w:eastAsia="Times New Roman" w:hAnsi="Times New Roman" w:cs="Times New Roman"/>
          <w:color w:val="000000"/>
          <w:sz w:val="24"/>
          <w:szCs w:val="24"/>
        </w:rPr>
        <w:t xml:space="preserve">he transportation distance of 183 </w:t>
      </w:r>
      <w:r w:rsidR="00D5071F">
        <w:rPr>
          <w:rFonts w:ascii="Times New Roman" w:eastAsia="Times New Roman" w:hAnsi="Times New Roman" w:cs="Times New Roman"/>
          <w:color w:val="000000"/>
          <w:sz w:val="24"/>
          <w:szCs w:val="24"/>
        </w:rPr>
        <w:t xml:space="preserve">miles is not entirely accurate. </w:t>
      </w:r>
      <w:r w:rsidR="00AE0B1C">
        <w:rPr>
          <w:rFonts w:ascii="Times New Roman" w:eastAsia="Times New Roman" w:hAnsi="Times New Roman" w:cs="Times New Roman"/>
          <w:color w:val="000000"/>
          <w:sz w:val="24"/>
          <w:szCs w:val="24"/>
        </w:rPr>
        <w:t>CLT construction is still extremely new in</w:t>
      </w:r>
      <w:r w:rsidR="00D5071F">
        <w:rPr>
          <w:rFonts w:ascii="Times New Roman" w:eastAsia="Times New Roman" w:hAnsi="Times New Roman" w:cs="Times New Roman"/>
          <w:color w:val="000000"/>
          <w:sz w:val="24"/>
          <w:szCs w:val="24"/>
        </w:rPr>
        <w:t xml:space="preserve"> the U.S. so</w:t>
      </w:r>
      <w:r w:rsidR="00AE0B1C">
        <w:rPr>
          <w:rFonts w:ascii="Times New Roman" w:eastAsia="Times New Roman" w:hAnsi="Times New Roman" w:cs="Times New Roman"/>
          <w:color w:val="000000"/>
          <w:sz w:val="24"/>
          <w:szCs w:val="24"/>
        </w:rPr>
        <w:t xml:space="preserve"> setting a distance according to that one factory would not</w:t>
      </w:r>
      <w:r w:rsidR="00D5071F">
        <w:rPr>
          <w:rFonts w:ascii="Times New Roman" w:eastAsia="Times New Roman" w:hAnsi="Times New Roman" w:cs="Times New Roman"/>
          <w:color w:val="000000"/>
          <w:sz w:val="24"/>
          <w:szCs w:val="24"/>
        </w:rPr>
        <w:t xml:space="preserve"> be fair either. As </w:t>
      </w:r>
      <w:r w:rsidR="00AE0B1C">
        <w:rPr>
          <w:rFonts w:ascii="Times New Roman" w:eastAsia="Times New Roman" w:hAnsi="Times New Roman" w:cs="Times New Roman"/>
          <w:color w:val="000000"/>
          <w:sz w:val="24"/>
          <w:szCs w:val="24"/>
        </w:rPr>
        <w:t xml:space="preserve">CLT construction increases over time, </w:t>
      </w:r>
      <w:r w:rsidR="00D5071F">
        <w:rPr>
          <w:rFonts w:ascii="Times New Roman" w:eastAsia="Times New Roman" w:hAnsi="Times New Roman" w:cs="Times New Roman"/>
          <w:color w:val="000000"/>
          <w:sz w:val="24"/>
          <w:szCs w:val="24"/>
        </w:rPr>
        <w:t xml:space="preserve">so will the number of factories. </w:t>
      </w:r>
      <w:r w:rsidR="00980136">
        <w:rPr>
          <w:rFonts w:ascii="Times New Roman" w:eastAsia="Times New Roman" w:hAnsi="Times New Roman" w:cs="Times New Roman"/>
          <w:color w:val="000000"/>
          <w:sz w:val="24"/>
          <w:szCs w:val="24"/>
        </w:rPr>
        <w:t>T</w:t>
      </w:r>
      <w:r w:rsidR="00D5071F">
        <w:rPr>
          <w:rFonts w:ascii="Times New Roman" w:eastAsia="Times New Roman" w:hAnsi="Times New Roman" w:cs="Times New Roman"/>
          <w:color w:val="000000"/>
          <w:sz w:val="24"/>
          <w:szCs w:val="24"/>
        </w:rPr>
        <w:t xml:space="preserve">he transportation distance </w:t>
      </w:r>
      <w:r w:rsidR="00980136">
        <w:rPr>
          <w:rFonts w:ascii="Times New Roman" w:eastAsia="Times New Roman" w:hAnsi="Times New Roman" w:cs="Times New Roman"/>
          <w:color w:val="000000"/>
          <w:sz w:val="24"/>
          <w:szCs w:val="24"/>
        </w:rPr>
        <w:t>will keep changing so there was not a correct distance that could be set.</w:t>
      </w:r>
    </w:p>
    <w:p w:rsidR="00A97D37" w:rsidRPr="00A97D37" w:rsidRDefault="00B86A69" w:rsidP="00A97D37">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Another thing to consider is the renovations/maintenance of the building in its 50 year life cycle. This was not taken into account for this paper since the simulation software used is limited in this aspect. It only simulated the data from everyday use </w:t>
      </w:r>
      <w:r w:rsidR="00A97D37">
        <w:rPr>
          <w:rFonts w:ascii="Times New Roman" w:eastAsia="Times New Roman" w:hAnsi="Times New Roman" w:cs="Times New Roman"/>
          <w:color w:val="000000"/>
          <w:sz w:val="24"/>
          <w:szCs w:val="24"/>
        </w:rPr>
        <w:t>of the building and did not consider any renovations that would occur to maintain the building</w:t>
      </w:r>
      <w:r>
        <w:rPr>
          <w:rFonts w:ascii="Times New Roman" w:eastAsia="Times New Roman" w:hAnsi="Times New Roman" w:cs="Times New Roman"/>
          <w:color w:val="000000"/>
          <w:sz w:val="24"/>
          <w:szCs w:val="24"/>
        </w:rPr>
        <w:t>. In future studies, energy consumption and carbon emissions for this part of the operations stage would provide</w:t>
      </w:r>
      <w:r w:rsidR="00A97D37">
        <w:rPr>
          <w:rFonts w:ascii="Times New Roman" w:eastAsia="Times New Roman" w:hAnsi="Times New Roman" w:cs="Times New Roman"/>
          <w:color w:val="000000"/>
          <w:sz w:val="24"/>
          <w:szCs w:val="24"/>
        </w:rPr>
        <w:t xml:space="preserve"> for a more complete assessment.</w:t>
      </w:r>
    </w:p>
    <w:p w:rsidR="007D09FC" w:rsidRDefault="007D09FC" w:rsidP="007D09FC">
      <w:pPr>
        <w:spacing w:line="480" w:lineRule="auto"/>
        <w:rPr>
          <w:rFonts w:ascii="Times New Roman" w:eastAsia="Times New Roman" w:hAnsi="Times New Roman" w:cs="Times New Roman"/>
          <w:color w:val="000000"/>
          <w:sz w:val="24"/>
          <w:szCs w:val="24"/>
        </w:rPr>
      </w:pPr>
    </w:p>
    <w:p w:rsidR="007D09FC" w:rsidRDefault="007D09FC" w:rsidP="007D09FC">
      <w:pPr>
        <w:spacing w:line="480" w:lineRule="auto"/>
        <w:rPr>
          <w:rFonts w:ascii="Times New Roman" w:eastAsia="Times New Roman" w:hAnsi="Times New Roman" w:cs="Times New Roman"/>
          <w:color w:val="000000"/>
          <w:sz w:val="24"/>
          <w:szCs w:val="24"/>
        </w:rPr>
      </w:pPr>
    </w:p>
    <w:p w:rsidR="007D09FC" w:rsidRDefault="007D09FC" w:rsidP="007D09FC">
      <w:pPr>
        <w:spacing w:line="480" w:lineRule="auto"/>
        <w:rPr>
          <w:rFonts w:ascii="Times New Roman" w:eastAsia="Times New Roman" w:hAnsi="Times New Roman" w:cs="Times New Roman"/>
          <w:color w:val="000000"/>
          <w:sz w:val="24"/>
          <w:szCs w:val="24"/>
        </w:rPr>
      </w:pPr>
    </w:p>
    <w:p w:rsidR="007D09FC" w:rsidRPr="002231B8" w:rsidRDefault="007D09FC" w:rsidP="007D09FC">
      <w:pPr>
        <w:spacing w:line="480" w:lineRule="auto"/>
        <w:rPr>
          <w:rFonts w:ascii="Times New Roman" w:eastAsia="Times New Roman" w:hAnsi="Times New Roman" w:cs="Times New Roman"/>
          <w:color w:val="000000"/>
          <w:sz w:val="24"/>
          <w:szCs w:val="24"/>
        </w:rPr>
      </w:pPr>
    </w:p>
    <w:p w:rsidR="0017342F" w:rsidRDefault="0017342F" w:rsidP="00374FCF">
      <w:pPr>
        <w:autoSpaceDE w:val="0"/>
        <w:autoSpaceDN w:val="0"/>
        <w:adjustRightInd w:val="0"/>
        <w:spacing w:after="0" w:line="480" w:lineRule="auto"/>
        <w:jc w:val="center"/>
        <w:rPr>
          <w:rFonts w:ascii="Times New Roman" w:hAnsi="Times New Roman" w:cs="Times New Roman"/>
          <w:b/>
          <w:sz w:val="24"/>
          <w:szCs w:val="24"/>
        </w:rPr>
      </w:pPr>
      <w:r w:rsidRPr="00374FCF">
        <w:rPr>
          <w:rFonts w:ascii="Times New Roman" w:hAnsi="Times New Roman" w:cs="Times New Roman"/>
          <w:b/>
          <w:sz w:val="24"/>
          <w:szCs w:val="24"/>
        </w:rPr>
        <w:lastRenderedPageBreak/>
        <w:t>References</w:t>
      </w:r>
    </w:p>
    <w:p w:rsidR="00F8753C" w:rsidRPr="00F8753C" w:rsidRDefault="00F8753C" w:rsidP="00F8753C">
      <w:pPr>
        <w:autoSpaceDE w:val="0"/>
        <w:autoSpaceDN w:val="0"/>
        <w:adjustRightInd w:val="0"/>
        <w:spacing w:after="0" w:line="480" w:lineRule="auto"/>
        <w:ind w:left="720" w:hanging="720"/>
        <w:rPr>
          <w:rFonts w:ascii="Times New Roman" w:hAnsi="Times New Roman" w:cs="Times New Roman"/>
          <w:sz w:val="24"/>
          <w:szCs w:val="24"/>
        </w:rPr>
      </w:pPr>
      <w:r w:rsidRPr="00F8753C">
        <w:rPr>
          <w:rFonts w:ascii="Times New Roman" w:hAnsi="Times New Roman" w:cs="Times New Roman"/>
          <w:sz w:val="24"/>
          <w:szCs w:val="24"/>
        </w:rPr>
        <w:t xml:space="preserve">Darby, H.J., A.A. </w:t>
      </w:r>
      <w:proofErr w:type="spellStart"/>
      <w:r w:rsidRPr="00F8753C">
        <w:rPr>
          <w:rFonts w:ascii="Times New Roman" w:hAnsi="Times New Roman" w:cs="Times New Roman"/>
          <w:sz w:val="24"/>
          <w:szCs w:val="24"/>
        </w:rPr>
        <w:t>Almualim</w:t>
      </w:r>
      <w:proofErr w:type="spellEnd"/>
      <w:r w:rsidRPr="00F8753C">
        <w:rPr>
          <w:rFonts w:ascii="Times New Roman" w:hAnsi="Times New Roman" w:cs="Times New Roman"/>
          <w:sz w:val="24"/>
          <w:szCs w:val="24"/>
        </w:rPr>
        <w:t>, and F. Kelly. "A Case Study to Investigate the Life Cycle Carbon Emissions and Carbon Storage Capacity of a Cross Laminated Timber, Multi-story Residential Building." A Case Study to Investigate the Life Cycle Carbon Emissions and Carbon Storage Capacity of a Cro</w:t>
      </w:r>
      <w:r>
        <w:rPr>
          <w:rFonts w:ascii="Times New Roman" w:hAnsi="Times New Roman" w:cs="Times New Roman"/>
          <w:sz w:val="24"/>
          <w:szCs w:val="24"/>
        </w:rPr>
        <w:t>ss Laminated Timber, Multi-story Residential Building</w:t>
      </w:r>
      <w:bookmarkStart w:id="1" w:name="_GoBack"/>
      <w:bookmarkEnd w:id="1"/>
      <w:r w:rsidRPr="00F8753C">
        <w:rPr>
          <w:rFonts w:ascii="Times New Roman" w:hAnsi="Times New Roman" w:cs="Times New Roman"/>
          <w:sz w:val="24"/>
          <w:szCs w:val="24"/>
        </w:rPr>
        <w:t xml:space="preserve">. </w:t>
      </w:r>
      <w:proofErr w:type="spellStart"/>
      <w:r w:rsidRPr="00F8753C">
        <w:rPr>
          <w:rFonts w:ascii="Times New Roman" w:hAnsi="Times New Roman" w:cs="Times New Roman"/>
          <w:sz w:val="24"/>
          <w:szCs w:val="24"/>
        </w:rPr>
        <w:t>N.p</w:t>
      </w:r>
      <w:proofErr w:type="spellEnd"/>
      <w:r w:rsidRPr="00F8753C">
        <w:rPr>
          <w:rFonts w:ascii="Times New Roman" w:hAnsi="Times New Roman" w:cs="Times New Roman"/>
          <w:sz w:val="24"/>
          <w:szCs w:val="24"/>
        </w:rPr>
        <w:t>., 10 Sept. 2013. Web. 8 Aug. 2017.</w:t>
      </w:r>
    </w:p>
    <w:p w:rsidR="0054442C" w:rsidRPr="0054442C" w:rsidRDefault="007E1017" w:rsidP="0054442C">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54442C">
        <w:rPr>
          <w:rFonts w:ascii="Times New Roman" w:hAnsi="Times New Roman" w:cs="Times New Roman"/>
          <w:sz w:val="24"/>
          <w:szCs w:val="24"/>
        </w:rPr>
        <w:t>Ghattas</w:t>
      </w:r>
      <w:proofErr w:type="spellEnd"/>
      <w:r w:rsidRPr="0054442C">
        <w:rPr>
          <w:rFonts w:ascii="Times New Roman" w:hAnsi="Times New Roman" w:cs="Times New Roman"/>
          <w:sz w:val="24"/>
          <w:szCs w:val="24"/>
        </w:rPr>
        <w:t xml:space="preserve">, </w:t>
      </w:r>
      <w:proofErr w:type="spellStart"/>
      <w:r w:rsidRPr="0054442C">
        <w:rPr>
          <w:rFonts w:ascii="Times New Roman" w:hAnsi="Times New Roman" w:cs="Times New Roman"/>
          <w:sz w:val="24"/>
          <w:szCs w:val="24"/>
        </w:rPr>
        <w:t>Randa</w:t>
      </w:r>
      <w:proofErr w:type="spellEnd"/>
      <w:r w:rsidRPr="0054442C">
        <w:rPr>
          <w:rFonts w:ascii="Times New Roman" w:hAnsi="Times New Roman" w:cs="Times New Roman"/>
          <w:sz w:val="24"/>
          <w:szCs w:val="24"/>
        </w:rPr>
        <w:t xml:space="preserve">, Jeremy Gregory, Elsa Olivetti, and Suzanne Greene. "Concrete Sustainability Hub." Life Cycle Assessment for Residential Buildings: A Literature Review and Gap Analysis | Concrete Sustainability Hub. </w:t>
      </w:r>
      <w:proofErr w:type="spellStart"/>
      <w:r w:rsidRPr="0054442C">
        <w:rPr>
          <w:rFonts w:ascii="Times New Roman" w:hAnsi="Times New Roman" w:cs="Times New Roman"/>
          <w:sz w:val="24"/>
          <w:szCs w:val="24"/>
        </w:rPr>
        <w:t>N.p</w:t>
      </w:r>
      <w:proofErr w:type="spellEnd"/>
      <w:r w:rsidRPr="0054442C">
        <w:rPr>
          <w:rFonts w:ascii="Times New Roman" w:hAnsi="Times New Roman" w:cs="Times New Roman"/>
          <w:sz w:val="24"/>
          <w:szCs w:val="24"/>
        </w:rPr>
        <w:t>., 12 Mar. 2013. Web. 08 Aug. 2017.</w:t>
      </w:r>
    </w:p>
    <w:p w:rsidR="00374FCF" w:rsidRPr="001266D1" w:rsidRDefault="00374FCF" w:rsidP="00E85488">
      <w:pPr>
        <w:spacing w:line="480" w:lineRule="auto"/>
        <w:ind w:left="720" w:hanging="720"/>
        <w:rPr>
          <w:rFonts w:ascii="Times New Roman" w:hAnsi="Times New Roman" w:cs="Times New Roman"/>
          <w:sz w:val="24"/>
          <w:szCs w:val="24"/>
        </w:rPr>
      </w:pPr>
      <w:r w:rsidRPr="001266D1">
        <w:rPr>
          <w:rFonts w:ascii="Times New Roman" w:hAnsi="Times New Roman" w:cs="Times New Roman"/>
          <w:sz w:val="24"/>
          <w:szCs w:val="24"/>
        </w:rPr>
        <w:t>Guo, H., Liu, Y., Chang, W.-S., Shao, Y. &amp; Sun, C. Energy Saving and Carbon Reduction in the Operation Stage of Cross Laminated Timber Residential Buildings in China. Sustainability (2017). doi:10.3390/su9020292</w:t>
      </w:r>
    </w:p>
    <w:p w:rsidR="00A63FB7" w:rsidRPr="001266D1" w:rsidRDefault="00A63FB7" w:rsidP="00E85488">
      <w:pPr>
        <w:spacing w:line="480" w:lineRule="auto"/>
        <w:ind w:left="720" w:hanging="720"/>
        <w:rPr>
          <w:rFonts w:ascii="Times New Roman" w:hAnsi="Times New Roman" w:cs="Times New Roman"/>
          <w:sz w:val="24"/>
          <w:szCs w:val="24"/>
        </w:rPr>
      </w:pPr>
      <w:r w:rsidRPr="001266D1">
        <w:rPr>
          <w:rFonts w:ascii="Times New Roman" w:hAnsi="Times New Roman" w:cs="Times New Roman"/>
          <w:sz w:val="24"/>
          <w:szCs w:val="24"/>
        </w:rPr>
        <w:t xml:space="preserve">"Historical Weather." Weather Underground. </w:t>
      </w:r>
      <w:proofErr w:type="spellStart"/>
      <w:r w:rsidRPr="001266D1">
        <w:rPr>
          <w:rFonts w:ascii="Times New Roman" w:hAnsi="Times New Roman" w:cs="Times New Roman"/>
          <w:sz w:val="24"/>
          <w:szCs w:val="24"/>
        </w:rPr>
        <w:t>N.p</w:t>
      </w:r>
      <w:proofErr w:type="spellEnd"/>
      <w:r w:rsidRPr="001266D1">
        <w:rPr>
          <w:rFonts w:ascii="Times New Roman" w:hAnsi="Times New Roman" w:cs="Times New Roman"/>
          <w:sz w:val="24"/>
          <w:szCs w:val="24"/>
        </w:rPr>
        <w:t xml:space="preserve">., </w:t>
      </w:r>
      <w:proofErr w:type="spellStart"/>
      <w:r w:rsidRPr="001266D1">
        <w:rPr>
          <w:rFonts w:ascii="Times New Roman" w:hAnsi="Times New Roman" w:cs="Times New Roman"/>
          <w:sz w:val="24"/>
          <w:szCs w:val="24"/>
        </w:rPr>
        <w:t>n.d.</w:t>
      </w:r>
      <w:proofErr w:type="spellEnd"/>
      <w:r w:rsidRPr="001266D1">
        <w:rPr>
          <w:rFonts w:ascii="Times New Roman" w:hAnsi="Times New Roman" w:cs="Times New Roman"/>
          <w:sz w:val="24"/>
          <w:szCs w:val="24"/>
        </w:rPr>
        <w:t xml:space="preserve"> Web. 27 July 2017.</w:t>
      </w:r>
    </w:p>
    <w:p w:rsidR="00E749B8" w:rsidRPr="001266D1" w:rsidRDefault="00E749B8" w:rsidP="00E85488">
      <w:pPr>
        <w:spacing w:line="480" w:lineRule="auto"/>
        <w:ind w:left="720" w:hanging="720"/>
        <w:rPr>
          <w:rFonts w:ascii="Times New Roman" w:hAnsi="Times New Roman" w:cs="Times New Roman"/>
          <w:sz w:val="24"/>
          <w:szCs w:val="24"/>
        </w:rPr>
      </w:pPr>
      <w:r w:rsidRPr="001266D1">
        <w:rPr>
          <w:rFonts w:ascii="Times New Roman" w:hAnsi="Times New Roman" w:cs="Times New Roman"/>
          <w:sz w:val="24"/>
          <w:szCs w:val="24"/>
        </w:rPr>
        <w:t>"INTERNATIONAL ENERGY OUTLOOK 2016." U.S Energy Information Administration. U.S Energy Information Administration, 11 May 2016. Web. 27 July 2017.</w:t>
      </w:r>
    </w:p>
    <w:p w:rsidR="0017342F" w:rsidRPr="001266D1" w:rsidRDefault="0017342F" w:rsidP="00E85488">
      <w:pPr>
        <w:spacing w:line="480" w:lineRule="auto"/>
        <w:ind w:left="720" w:hanging="720"/>
        <w:rPr>
          <w:rFonts w:ascii="Times New Roman" w:hAnsi="Times New Roman" w:cs="Times New Roman"/>
          <w:sz w:val="24"/>
          <w:szCs w:val="24"/>
        </w:rPr>
      </w:pPr>
      <w:r w:rsidRPr="001266D1">
        <w:rPr>
          <w:rFonts w:ascii="Times New Roman" w:hAnsi="Times New Roman" w:cs="Times New Roman"/>
          <w:sz w:val="24"/>
          <w:szCs w:val="24"/>
        </w:rPr>
        <w:t>K Intergovernmental Panel on Climate Change (IPCC). Chapter 9: Buildings. In Intergovernmental Panel on Climate Change. Climate Change 2014: Mitigation of Climate Change; IPCC: Geneva, Switzerland, 2014.</w:t>
      </w:r>
    </w:p>
    <w:p w:rsidR="00A24EC2" w:rsidRPr="001266D1" w:rsidRDefault="00A24EC2" w:rsidP="00E85488">
      <w:pPr>
        <w:spacing w:line="480" w:lineRule="auto"/>
        <w:ind w:left="720" w:hanging="720"/>
        <w:rPr>
          <w:rFonts w:ascii="Times New Roman" w:hAnsi="Times New Roman" w:cs="Times New Roman"/>
          <w:sz w:val="24"/>
          <w:szCs w:val="24"/>
        </w:rPr>
      </w:pPr>
      <w:r w:rsidRPr="001266D1">
        <w:rPr>
          <w:rFonts w:ascii="Times New Roman" w:hAnsi="Times New Roman" w:cs="Times New Roman"/>
          <w:sz w:val="24"/>
          <w:szCs w:val="24"/>
        </w:rPr>
        <w:t xml:space="preserve">Liu, Ying, </w:t>
      </w:r>
      <w:proofErr w:type="spellStart"/>
      <w:r w:rsidRPr="001266D1">
        <w:rPr>
          <w:rFonts w:ascii="Times New Roman" w:hAnsi="Times New Roman" w:cs="Times New Roman"/>
          <w:sz w:val="24"/>
          <w:szCs w:val="24"/>
        </w:rPr>
        <w:t>Haibo</w:t>
      </w:r>
      <w:proofErr w:type="spellEnd"/>
      <w:r w:rsidRPr="001266D1">
        <w:rPr>
          <w:rFonts w:ascii="Times New Roman" w:hAnsi="Times New Roman" w:cs="Times New Roman"/>
          <w:sz w:val="24"/>
          <w:szCs w:val="24"/>
        </w:rPr>
        <w:t xml:space="preserve"> Guo, Cheng Sun, and Wen-Shao Chang. "Assessing Cross Laminated Timber (CLT) as an Alternative Material for Mid-Rise Residential Buildings in Cold Regions in China—A Life-Cycle Assessment Approach." Research Gate. </w:t>
      </w:r>
      <w:proofErr w:type="spellStart"/>
      <w:r w:rsidRPr="001266D1">
        <w:rPr>
          <w:rFonts w:ascii="Times New Roman" w:hAnsi="Times New Roman" w:cs="Times New Roman"/>
          <w:sz w:val="24"/>
          <w:szCs w:val="24"/>
        </w:rPr>
        <w:t>N.p</w:t>
      </w:r>
      <w:proofErr w:type="spellEnd"/>
      <w:r w:rsidRPr="001266D1">
        <w:rPr>
          <w:rFonts w:ascii="Times New Roman" w:hAnsi="Times New Roman" w:cs="Times New Roman"/>
          <w:sz w:val="24"/>
          <w:szCs w:val="24"/>
        </w:rPr>
        <w:t>., 18 Oct. 2016. Web. 26 July 2017.</w:t>
      </w:r>
    </w:p>
    <w:p w:rsidR="0017342F" w:rsidRPr="001266D1" w:rsidRDefault="0017342F" w:rsidP="00E85488">
      <w:pPr>
        <w:spacing w:line="480" w:lineRule="auto"/>
        <w:ind w:left="720" w:hanging="720"/>
        <w:rPr>
          <w:rFonts w:ascii="Times New Roman" w:hAnsi="Times New Roman" w:cs="Times New Roman"/>
          <w:sz w:val="24"/>
          <w:szCs w:val="24"/>
        </w:rPr>
      </w:pPr>
      <w:proofErr w:type="spellStart"/>
      <w:r w:rsidRPr="001266D1">
        <w:rPr>
          <w:rFonts w:ascii="Times New Roman" w:hAnsi="Times New Roman" w:cs="Times New Roman"/>
          <w:sz w:val="24"/>
          <w:szCs w:val="24"/>
        </w:rPr>
        <w:lastRenderedPageBreak/>
        <w:t>Mastrandrea</w:t>
      </w:r>
      <w:proofErr w:type="spellEnd"/>
      <w:r w:rsidRPr="001266D1">
        <w:rPr>
          <w:rFonts w:ascii="Times New Roman" w:hAnsi="Times New Roman" w:cs="Times New Roman"/>
          <w:sz w:val="24"/>
          <w:szCs w:val="24"/>
        </w:rPr>
        <w:t xml:space="preserve">, M.D., et al. “Climate Change 2014 Synthesis Report.” Intergovernmental Panel on Climate Change, Intergovernmental Panel on Climate Change, 2015, </w:t>
      </w:r>
      <w:hyperlink r:id="rId16" w:history="1">
        <w:r w:rsidRPr="001266D1">
          <w:t>www.ipcc.ch/pdf/assessment-report/ar5/syr/AR5_SYR_FINAL_All_Topics.pdf</w:t>
        </w:r>
      </w:hyperlink>
      <w:r w:rsidRPr="001266D1">
        <w:rPr>
          <w:rFonts w:ascii="Times New Roman" w:hAnsi="Times New Roman" w:cs="Times New Roman"/>
          <w:sz w:val="24"/>
          <w:szCs w:val="24"/>
        </w:rPr>
        <w:t>.</w:t>
      </w:r>
    </w:p>
    <w:p w:rsidR="00E85488" w:rsidRPr="001266D1" w:rsidRDefault="00E85488" w:rsidP="00E85488">
      <w:pPr>
        <w:spacing w:line="480" w:lineRule="auto"/>
        <w:ind w:left="720" w:hanging="720"/>
        <w:rPr>
          <w:rFonts w:ascii="Times New Roman" w:hAnsi="Times New Roman" w:cs="Times New Roman"/>
          <w:sz w:val="24"/>
          <w:szCs w:val="24"/>
        </w:rPr>
      </w:pPr>
      <w:r w:rsidRPr="001266D1">
        <w:rPr>
          <w:rFonts w:ascii="Times New Roman" w:hAnsi="Times New Roman" w:cs="Times New Roman"/>
          <w:sz w:val="24"/>
          <w:szCs w:val="24"/>
        </w:rPr>
        <w:t xml:space="preserve">Olivier, Jos G.J., et al. “Trends in Global CO2 Emissions: 2015 Report.” edgar.jrc.ec.europa.eu/news_docs/jrc-2015-trends-in-global-co2-emissions-2015-report-98184.pdf. </w:t>
      </w:r>
    </w:p>
    <w:p w:rsidR="00F23D27" w:rsidRPr="001266D1" w:rsidRDefault="00F23D27" w:rsidP="00E85488">
      <w:pPr>
        <w:spacing w:line="480" w:lineRule="auto"/>
        <w:ind w:left="720" w:hanging="720"/>
        <w:rPr>
          <w:rFonts w:ascii="Times New Roman" w:hAnsi="Times New Roman" w:cs="Times New Roman"/>
          <w:sz w:val="24"/>
          <w:szCs w:val="24"/>
        </w:rPr>
      </w:pPr>
      <w:r w:rsidRPr="001266D1">
        <w:rPr>
          <w:rFonts w:ascii="Times New Roman" w:hAnsi="Times New Roman" w:cs="Times New Roman"/>
          <w:sz w:val="24"/>
          <w:szCs w:val="24"/>
        </w:rPr>
        <w:t>"Sources of Greenhouse Gas Emissions." EPA. Environmental Protection Agency, 14 Apr. 2017. Web. 30 July 2017.</w:t>
      </w:r>
    </w:p>
    <w:p w:rsidR="00855184" w:rsidRDefault="0017342F" w:rsidP="00E85488">
      <w:pPr>
        <w:autoSpaceDE w:val="0"/>
        <w:autoSpaceDN w:val="0"/>
        <w:adjustRightInd w:val="0"/>
        <w:spacing w:after="0" w:line="480" w:lineRule="auto"/>
        <w:ind w:left="720" w:hanging="720"/>
        <w:rPr>
          <w:rFonts w:ascii="Times New Roman" w:hAnsi="Times New Roman" w:cs="Times New Roman"/>
          <w:sz w:val="24"/>
          <w:szCs w:val="24"/>
        </w:rPr>
      </w:pPr>
      <w:r w:rsidRPr="001266D1">
        <w:rPr>
          <w:rFonts w:ascii="Times New Roman" w:hAnsi="Times New Roman" w:cs="Times New Roman"/>
          <w:sz w:val="24"/>
          <w:szCs w:val="24"/>
        </w:rPr>
        <w:t>“U.S. Energy Information Administration - EIA - Independent Statistics and Analysis.”</w:t>
      </w:r>
      <w:r w:rsidR="00E85488" w:rsidRPr="001266D1">
        <w:rPr>
          <w:rFonts w:ascii="Times New Roman" w:hAnsi="Times New Roman" w:cs="Times New Roman"/>
          <w:sz w:val="24"/>
          <w:szCs w:val="24"/>
        </w:rPr>
        <w:t xml:space="preserve"> </w:t>
      </w:r>
      <w:r w:rsidRPr="001266D1">
        <w:rPr>
          <w:rFonts w:ascii="Times New Roman" w:hAnsi="Times New Roman" w:cs="Times New Roman"/>
          <w:sz w:val="24"/>
          <w:szCs w:val="24"/>
        </w:rPr>
        <w:t>International Energy Outlook 2016-World Energy Demand and Econom</w:t>
      </w:r>
      <w:r w:rsidR="00E85488" w:rsidRPr="001266D1">
        <w:rPr>
          <w:rFonts w:ascii="Times New Roman" w:hAnsi="Times New Roman" w:cs="Times New Roman"/>
          <w:sz w:val="24"/>
          <w:szCs w:val="24"/>
        </w:rPr>
        <w:t>i</w:t>
      </w:r>
      <w:r w:rsidRPr="001266D1">
        <w:rPr>
          <w:rFonts w:ascii="Times New Roman" w:hAnsi="Times New Roman" w:cs="Times New Roman"/>
          <w:sz w:val="24"/>
          <w:szCs w:val="24"/>
        </w:rPr>
        <w:t xml:space="preserve">c Outlook - Energy Information Administration, U.S. Energy Information Administration, 11 May 2016, </w:t>
      </w:r>
    </w:p>
    <w:p w:rsidR="00430FE6" w:rsidRDefault="00430FE6" w:rsidP="00430FE6">
      <w:pPr>
        <w:autoSpaceDE w:val="0"/>
        <w:autoSpaceDN w:val="0"/>
        <w:adjustRightInd w:val="0"/>
        <w:spacing w:after="0" w:line="480" w:lineRule="auto"/>
        <w:rPr>
          <w:rFonts w:ascii="Times New Roman" w:hAnsi="Times New Roman" w:cs="Times New Roman"/>
          <w:sz w:val="24"/>
          <w:szCs w:val="24"/>
        </w:rPr>
      </w:pPr>
    </w:p>
    <w:p w:rsidR="00430FE6" w:rsidRDefault="00430FE6" w:rsidP="00E85488">
      <w:pPr>
        <w:autoSpaceDE w:val="0"/>
        <w:autoSpaceDN w:val="0"/>
        <w:adjustRightInd w:val="0"/>
        <w:spacing w:after="0" w:line="480" w:lineRule="auto"/>
        <w:ind w:left="720" w:hanging="720"/>
        <w:rPr>
          <w:rFonts w:ascii="Times New Roman" w:hAnsi="Times New Roman" w:cs="Times New Roman"/>
          <w:sz w:val="24"/>
          <w:szCs w:val="24"/>
        </w:rPr>
      </w:pPr>
    </w:p>
    <w:p w:rsidR="00430FE6" w:rsidRPr="001266D1" w:rsidRDefault="00430FE6" w:rsidP="002231B8">
      <w:pPr>
        <w:autoSpaceDE w:val="0"/>
        <w:autoSpaceDN w:val="0"/>
        <w:adjustRightInd w:val="0"/>
        <w:spacing w:after="0" w:line="480" w:lineRule="auto"/>
        <w:rPr>
          <w:rFonts w:ascii="Times New Roman" w:hAnsi="Times New Roman" w:cs="Times New Roman"/>
          <w:sz w:val="24"/>
          <w:szCs w:val="24"/>
        </w:rPr>
      </w:pPr>
    </w:p>
    <w:sectPr w:rsidR="00430FE6" w:rsidRPr="00126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2F"/>
    <w:rsid w:val="000256BD"/>
    <w:rsid w:val="00060A68"/>
    <w:rsid w:val="00085431"/>
    <w:rsid w:val="00091208"/>
    <w:rsid w:val="000D4C99"/>
    <w:rsid w:val="00112AED"/>
    <w:rsid w:val="00114DF6"/>
    <w:rsid w:val="001266D1"/>
    <w:rsid w:val="00142569"/>
    <w:rsid w:val="0014383A"/>
    <w:rsid w:val="00165AB7"/>
    <w:rsid w:val="0017342F"/>
    <w:rsid w:val="001A3AFD"/>
    <w:rsid w:val="001A505C"/>
    <w:rsid w:val="00207710"/>
    <w:rsid w:val="00215DDD"/>
    <w:rsid w:val="002231B8"/>
    <w:rsid w:val="00224DB5"/>
    <w:rsid w:val="002613CB"/>
    <w:rsid w:val="00267045"/>
    <w:rsid w:val="00271616"/>
    <w:rsid w:val="00274B3F"/>
    <w:rsid w:val="002A548B"/>
    <w:rsid w:val="002C59CA"/>
    <w:rsid w:val="002D4CBF"/>
    <w:rsid w:val="002F1EF2"/>
    <w:rsid w:val="00302151"/>
    <w:rsid w:val="003374DA"/>
    <w:rsid w:val="00341AA3"/>
    <w:rsid w:val="003502E8"/>
    <w:rsid w:val="00366436"/>
    <w:rsid w:val="00374FCF"/>
    <w:rsid w:val="00377119"/>
    <w:rsid w:val="00377523"/>
    <w:rsid w:val="00380038"/>
    <w:rsid w:val="00383266"/>
    <w:rsid w:val="0039394B"/>
    <w:rsid w:val="003A6088"/>
    <w:rsid w:val="003A6FD9"/>
    <w:rsid w:val="003B4D0B"/>
    <w:rsid w:val="003B7664"/>
    <w:rsid w:val="003C1BAA"/>
    <w:rsid w:val="003D4233"/>
    <w:rsid w:val="003F5022"/>
    <w:rsid w:val="00430FE6"/>
    <w:rsid w:val="00474C51"/>
    <w:rsid w:val="004A5613"/>
    <w:rsid w:val="004D560C"/>
    <w:rsid w:val="00543050"/>
    <w:rsid w:val="0054442C"/>
    <w:rsid w:val="005A3ED4"/>
    <w:rsid w:val="005A4419"/>
    <w:rsid w:val="005A533D"/>
    <w:rsid w:val="005A553A"/>
    <w:rsid w:val="005A650A"/>
    <w:rsid w:val="005E692F"/>
    <w:rsid w:val="005F3D05"/>
    <w:rsid w:val="0061360F"/>
    <w:rsid w:val="00620F7C"/>
    <w:rsid w:val="0062433F"/>
    <w:rsid w:val="00636474"/>
    <w:rsid w:val="006415C9"/>
    <w:rsid w:val="006448F7"/>
    <w:rsid w:val="0065302C"/>
    <w:rsid w:val="0069318C"/>
    <w:rsid w:val="00697746"/>
    <w:rsid w:val="006C39B4"/>
    <w:rsid w:val="0071314F"/>
    <w:rsid w:val="007458E2"/>
    <w:rsid w:val="00757F16"/>
    <w:rsid w:val="00775BE1"/>
    <w:rsid w:val="007B357A"/>
    <w:rsid w:val="007C0CEC"/>
    <w:rsid w:val="007D09FC"/>
    <w:rsid w:val="007D25CA"/>
    <w:rsid w:val="007E0053"/>
    <w:rsid w:val="007E1017"/>
    <w:rsid w:val="007E7F5C"/>
    <w:rsid w:val="007F016A"/>
    <w:rsid w:val="00800285"/>
    <w:rsid w:val="00801BFD"/>
    <w:rsid w:val="00807AC3"/>
    <w:rsid w:val="008309BB"/>
    <w:rsid w:val="0083435D"/>
    <w:rsid w:val="0084038C"/>
    <w:rsid w:val="00855184"/>
    <w:rsid w:val="008628A3"/>
    <w:rsid w:val="00870145"/>
    <w:rsid w:val="008B1547"/>
    <w:rsid w:val="008F6AF6"/>
    <w:rsid w:val="00966EAB"/>
    <w:rsid w:val="00971947"/>
    <w:rsid w:val="00980136"/>
    <w:rsid w:val="009A31D6"/>
    <w:rsid w:val="00A1478A"/>
    <w:rsid w:val="00A22805"/>
    <w:rsid w:val="00A24EC2"/>
    <w:rsid w:val="00A63FB7"/>
    <w:rsid w:val="00A779DA"/>
    <w:rsid w:val="00A80345"/>
    <w:rsid w:val="00A97D37"/>
    <w:rsid w:val="00AC48F0"/>
    <w:rsid w:val="00AE0B1C"/>
    <w:rsid w:val="00B07826"/>
    <w:rsid w:val="00B36683"/>
    <w:rsid w:val="00B407E5"/>
    <w:rsid w:val="00B62E2B"/>
    <w:rsid w:val="00B80595"/>
    <w:rsid w:val="00B86A69"/>
    <w:rsid w:val="00B8749B"/>
    <w:rsid w:val="00B90AB7"/>
    <w:rsid w:val="00BB5FCA"/>
    <w:rsid w:val="00BD55BA"/>
    <w:rsid w:val="00BD6260"/>
    <w:rsid w:val="00C13B9A"/>
    <w:rsid w:val="00C16307"/>
    <w:rsid w:val="00C35266"/>
    <w:rsid w:val="00C826A0"/>
    <w:rsid w:val="00CE0BDF"/>
    <w:rsid w:val="00CE33C1"/>
    <w:rsid w:val="00D0585B"/>
    <w:rsid w:val="00D5071F"/>
    <w:rsid w:val="00D70AE8"/>
    <w:rsid w:val="00DB515D"/>
    <w:rsid w:val="00DB6D84"/>
    <w:rsid w:val="00DC3066"/>
    <w:rsid w:val="00DC6376"/>
    <w:rsid w:val="00E234A0"/>
    <w:rsid w:val="00E33B82"/>
    <w:rsid w:val="00E66AFF"/>
    <w:rsid w:val="00E726FE"/>
    <w:rsid w:val="00E749B8"/>
    <w:rsid w:val="00E85488"/>
    <w:rsid w:val="00E86095"/>
    <w:rsid w:val="00ED479D"/>
    <w:rsid w:val="00EE02B2"/>
    <w:rsid w:val="00F024A4"/>
    <w:rsid w:val="00F1752A"/>
    <w:rsid w:val="00F20F64"/>
    <w:rsid w:val="00F23D27"/>
    <w:rsid w:val="00F3325B"/>
    <w:rsid w:val="00F824A3"/>
    <w:rsid w:val="00F8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7B88"/>
  <w15:chartTrackingRefBased/>
  <w15:docId w15:val="{95BF7B29-1DD9-4F4F-BE4D-3D868BA4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3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42F"/>
    <w:rPr>
      <w:color w:val="0563C1" w:themeColor="hyperlink"/>
      <w:u w:val="single"/>
    </w:rPr>
  </w:style>
  <w:style w:type="table" w:styleId="TableGrid">
    <w:name w:val="Table Grid"/>
    <w:basedOn w:val="TableNormal"/>
    <w:uiPriority w:val="39"/>
    <w:rsid w:val="00862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9906">
      <w:bodyDiv w:val="1"/>
      <w:marLeft w:val="0"/>
      <w:marRight w:val="0"/>
      <w:marTop w:val="0"/>
      <w:marBottom w:val="0"/>
      <w:divBdr>
        <w:top w:val="none" w:sz="0" w:space="0" w:color="auto"/>
        <w:left w:val="none" w:sz="0" w:space="0" w:color="auto"/>
        <w:bottom w:val="none" w:sz="0" w:space="0" w:color="auto"/>
        <w:right w:val="none" w:sz="0" w:space="0" w:color="auto"/>
      </w:divBdr>
    </w:div>
    <w:div w:id="109343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cc.ch/pdf/assessment-report/ar5/syr/AR5_SYR_FINAL_All_Topics.pdf"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hart" Target="charts/chart1.xml"/><Relationship Id="rId5" Type="http://schemas.openxmlformats.org/officeDocument/2006/relationships/image" Target="media/image1.png"/><Relationship Id="rId15" Type="http://schemas.openxmlformats.org/officeDocument/2006/relationships/chart" Target="charts/chart5.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i\Documents\Ali\REU\Paper\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i\Documents\Ali\REU\Paper\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i\Documents\Ali\REU\Paper\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i\Documents\Ali\REU\Paper\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li\Documents\Ali\REU\Paper\graph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Energy Consumption CLT vs</a:t>
            </a:r>
            <a:r>
              <a:rPr lang="en-US" baseline="0"/>
              <a:t> RC Per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RC</c:v>
          </c:tx>
          <c:spPr>
            <a:solidFill>
              <a:schemeClr val="accent1"/>
            </a:solidFill>
            <a:ln>
              <a:noFill/>
            </a:ln>
            <a:effectLst/>
          </c:spPr>
          <c:invertIfNegative val="0"/>
          <c:cat>
            <c:strRef>
              <c:f>Sheet1!$A$2:$A$11</c:f>
              <c:strCache>
                <c:ptCount val="10"/>
                <c:pt idx="0">
                  <c:v>Bismarck</c:v>
                </c:pt>
                <c:pt idx="1">
                  <c:v>Seattle</c:v>
                </c:pt>
                <c:pt idx="2">
                  <c:v>New York</c:v>
                </c:pt>
                <c:pt idx="3">
                  <c:v>Salt Lake City</c:v>
                </c:pt>
                <c:pt idx="4">
                  <c:v>Indianapolis</c:v>
                </c:pt>
                <c:pt idx="5">
                  <c:v>Topeka</c:v>
                </c:pt>
                <c:pt idx="6">
                  <c:v>Los Angeles</c:v>
                </c:pt>
                <c:pt idx="7">
                  <c:v>Santa Fe</c:v>
                </c:pt>
                <c:pt idx="8">
                  <c:v>Austin</c:v>
                </c:pt>
                <c:pt idx="9">
                  <c:v>Tallahassee</c:v>
                </c:pt>
              </c:strCache>
            </c:strRef>
          </c:cat>
          <c:val>
            <c:numRef>
              <c:f>Sheet1!$B$2:$B$11</c:f>
              <c:numCache>
                <c:formatCode>General</c:formatCode>
                <c:ptCount val="10"/>
                <c:pt idx="0">
                  <c:v>315</c:v>
                </c:pt>
                <c:pt idx="1">
                  <c:v>100</c:v>
                </c:pt>
                <c:pt idx="2">
                  <c:v>180</c:v>
                </c:pt>
                <c:pt idx="3">
                  <c:v>110</c:v>
                </c:pt>
                <c:pt idx="4">
                  <c:v>120</c:v>
                </c:pt>
                <c:pt idx="5">
                  <c:v>105</c:v>
                </c:pt>
                <c:pt idx="6">
                  <c:v>110</c:v>
                </c:pt>
                <c:pt idx="7">
                  <c:v>160</c:v>
                </c:pt>
                <c:pt idx="8">
                  <c:v>140</c:v>
                </c:pt>
                <c:pt idx="9">
                  <c:v>75</c:v>
                </c:pt>
              </c:numCache>
            </c:numRef>
          </c:val>
          <c:extLst>
            <c:ext xmlns:c16="http://schemas.microsoft.com/office/drawing/2014/chart" uri="{C3380CC4-5D6E-409C-BE32-E72D297353CC}">
              <c16:uniqueId val="{00000000-A75D-467F-A347-E93A5FE1AF6C}"/>
            </c:ext>
          </c:extLst>
        </c:ser>
        <c:ser>
          <c:idx val="1"/>
          <c:order val="1"/>
          <c:tx>
            <c:v>CLT</c:v>
          </c:tx>
          <c:spPr>
            <a:solidFill>
              <a:schemeClr val="accent2"/>
            </a:solidFill>
            <a:ln>
              <a:noFill/>
            </a:ln>
            <a:effectLst/>
          </c:spPr>
          <c:invertIfNegative val="0"/>
          <c:cat>
            <c:strRef>
              <c:f>Sheet1!$A$2:$A$11</c:f>
              <c:strCache>
                <c:ptCount val="10"/>
                <c:pt idx="0">
                  <c:v>Bismarck</c:v>
                </c:pt>
                <c:pt idx="1">
                  <c:v>Seattle</c:v>
                </c:pt>
                <c:pt idx="2">
                  <c:v>New York</c:v>
                </c:pt>
                <c:pt idx="3">
                  <c:v>Salt Lake City</c:v>
                </c:pt>
                <c:pt idx="4">
                  <c:v>Indianapolis</c:v>
                </c:pt>
                <c:pt idx="5">
                  <c:v>Topeka</c:v>
                </c:pt>
                <c:pt idx="6">
                  <c:v>Los Angeles</c:v>
                </c:pt>
                <c:pt idx="7">
                  <c:v>Santa Fe</c:v>
                </c:pt>
                <c:pt idx="8">
                  <c:v>Austin</c:v>
                </c:pt>
                <c:pt idx="9">
                  <c:v>Tallahassee</c:v>
                </c:pt>
              </c:strCache>
            </c:strRef>
          </c:cat>
          <c:val>
            <c:numRef>
              <c:f>Sheet1!$C$2:$C$11</c:f>
              <c:numCache>
                <c:formatCode>General</c:formatCode>
                <c:ptCount val="10"/>
                <c:pt idx="0">
                  <c:v>235</c:v>
                </c:pt>
                <c:pt idx="1">
                  <c:v>70</c:v>
                </c:pt>
                <c:pt idx="2">
                  <c:v>125</c:v>
                </c:pt>
                <c:pt idx="3">
                  <c:v>70</c:v>
                </c:pt>
                <c:pt idx="4">
                  <c:v>80</c:v>
                </c:pt>
                <c:pt idx="5">
                  <c:v>75</c:v>
                </c:pt>
                <c:pt idx="6">
                  <c:v>70</c:v>
                </c:pt>
                <c:pt idx="7">
                  <c:v>100</c:v>
                </c:pt>
                <c:pt idx="8">
                  <c:v>95</c:v>
                </c:pt>
                <c:pt idx="9">
                  <c:v>60</c:v>
                </c:pt>
              </c:numCache>
            </c:numRef>
          </c:val>
          <c:extLst>
            <c:ext xmlns:c16="http://schemas.microsoft.com/office/drawing/2014/chart" uri="{C3380CC4-5D6E-409C-BE32-E72D297353CC}">
              <c16:uniqueId val="{00000001-A75D-467F-A347-E93A5FE1AF6C}"/>
            </c:ext>
          </c:extLst>
        </c:ser>
        <c:dLbls>
          <c:showLegendKey val="0"/>
          <c:showVal val="0"/>
          <c:showCatName val="0"/>
          <c:showSerName val="0"/>
          <c:showPercent val="0"/>
          <c:showBubbleSize val="0"/>
        </c:dLbls>
        <c:gapWidth val="219"/>
        <c:overlap val="-27"/>
        <c:axId val="448143728"/>
        <c:axId val="448144712"/>
      </c:barChart>
      <c:lineChart>
        <c:grouping val="standard"/>
        <c:varyColors val="0"/>
        <c:ser>
          <c:idx val="2"/>
          <c:order val="2"/>
          <c:tx>
            <c:v>Difference</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Sheet1!$R$2:$R$11</c:f>
              <c:numCache>
                <c:formatCode>General</c:formatCode>
                <c:ptCount val="10"/>
                <c:pt idx="0">
                  <c:v>80</c:v>
                </c:pt>
                <c:pt idx="1">
                  <c:v>30</c:v>
                </c:pt>
                <c:pt idx="2">
                  <c:v>55</c:v>
                </c:pt>
                <c:pt idx="3">
                  <c:v>40</c:v>
                </c:pt>
                <c:pt idx="4">
                  <c:v>40</c:v>
                </c:pt>
                <c:pt idx="5">
                  <c:v>30</c:v>
                </c:pt>
                <c:pt idx="6">
                  <c:v>40</c:v>
                </c:pt>
                <c:pt idx="7">
                  <c:v>60</c:v>
                </c:pt>
                <c:pt idx="8">
                  <c:v>45</c:v>
                </c:pt>
                <c:pt idx="9">
                  <c:v>15</c:v>
                </c:pt>
              </c:numCache>
            </c:numRef>
          </c:val>
          <c:smooth val="0"/>
          <c:extLst>
            <c:ext xmlns:c16="http://schemas.microsoft.com/office/drawing/2014/chart" uri="{C3380CC4-5D6E-409C-BE32-E72D297353CC}">
              <c16:uniqueId val="{00000002-A75D-467F-A347-E93A5FE1AF6C}"/>
            </c:ext>
          </c:extLst>
        </c:ser>
        <c:dLbls>
          <c:showLegendKey val="0"/>
          <c:showVal val="0"/>
          <c:showCatName val="0"/>
          <c:showSerName val="0"/>
          <c:showPercent val="0"/>
          <c:showBubbleSize val="0"/>
        </c:dLbls>
        <c:marker val="1"/>
        <c:smooth val="0"/>
        <c:axId val="441607408"/>
        <c:axId val="441602816"/>
      </c:lineChart>
      <c:catAx>
        <c:axId val="44814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144712"/>
        <c:crosses val="autoZero"/>
        <c:auto val="0"/>
        <c:lblAlgn val="ctr"/>
        <c:lblOffset val="100"/>
        <c:noMultiLvlLbl val="0"/>
      </c:catAx>
      <c:valAx>
        <c:axId val="448144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Energy Consumption (MJ/m^2)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143728"/>
        <c:crosses val="autoZero"/>
        <c:crossBetween val="between"/>
      </c:valAx>
      <c:valAx>
        <c:axId val="44160281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Difference in Consumption (MJ/m^2)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607408"/>
        <c:crosses val="max"/>
        <c:crossBetween val="between"/>
      </c:valAx>
      <c:catAx>
        <c:axId val="441607408"/>
        <c:scaling>
          <c:orientation val="minMax"/>
        </c:scaling>
        <c:delete val="1"/>
        <c:axPos val="b"/>
        <c:majorTickMark val="out"/>
        <c:minorTickMark val="none"/>
        <c:tickLblPos val="nextTo"/>
        <c:crossAx val="4416028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Carbon Emissions CLT vs RC Per Year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RC</c:v>
          </c:tx>
          <c:spPr>
            <a:solidFill>
              <a:schemeClr val="accent1"/>
            </a:solidFill>
            <a:ln>
              <a:noFill/>
            </a:ln>
            <a:effectLst/>
          </c:spPr>
          <c:invertIfNegative val="0"/>
          <c:cat>
            <c:strRef>
              <c:f>Sheet1!$F$2:$F$11</c:f>
              <c:strCache>
                <c:ptCount val="10"/>
                <c:pt idx="0">
                  <c:v>Bismarck</c:v>
                </c:pt>
                <c:pt idx="1">
                  <c:v>Seattle</c:v>
                </c:pt>
                <c:pt idx="2">
                  <c:v>New York</c:v>
                </c:pt>
                <c:pt idx="3">
                  <c:v>Salt Lake City</c:v>
                </c:pt>
                <c:pt idx="4">
                  <c:v>Indianapolis</c:v>
                </c:pt>
                <c:pt idx="5">
                  <c:v>Topeka</c:v>
                </c:pt>
                <c:pt idx="6">
                  <c:v>Los Angeles</c:v>
                </c:pt>
                <c:pt idx="7">
                  <c:v>Santa Fe</c:v>
                </c:pt>
                <c:pt idx="8">
                  <c:v>Austin</c:v>
                </c:pt>
                <c:pt idx="9">
                  <c:v>Tallahassee</c:v>
                </c:pt>
              </c:strCache>
            </c:strRef>
          </c:cat>
          <c:val>
            <c:numRef>
              <c:f>Sheet1!$G$2:$G$11</c:f>
              <c:numCache>
                <c:formatCode>General</c:formatCode>
                <c:ptCount val="10"/>
                <c:pt idx="0">
                  <c:v>34</c:v>
                </c:pt>
                <c:pt idx="1">
                  <c:v>11</c:v>
                </c:pt>
                <c:pt idx="2">
                  <c:v>24</c:v>
                </c:pt>
                <c:pt idx="3">
                  <c:v>17.5</c:v>
                </c:pt>
                <c:pt idx="4">
                  <c:v>15</c:v>
                </c:pt>
                <c:pt idx="5">
                  <c:v>19.5</c:v>
                </c:pt>
                <c:pt idx="6">
                  <c:v>13</c:v>
                </c:pt>
                <c:pt idx="7">
                  <c:v>14</c:v>
                </c:pt>
                <c:pt idx="8">
                  <c:v>12</c:v>
                </c:pt>
                <c:pt idx="9">
                  <c:v>12.5</c:v>
                </c:pt>
              </c:numCache>
            </c:numRef>
          </c:val>
          <c:extLst>
            <c:ext xmlns:c16="http://schemas.microsoft.com/office/drawing/2014/chart" uri="{C3380CC4-5D6E-409C-BE32-E72D297353CC}">
              <c16:uniqueId val="{00000000-436E-4982-B32C-9DF0A96E8CDC}"/>
            </c:ext>
          </c:extLst>
        </c:ser>
        <c:ser>
          <c:idx val="1"/>
          <c:order val="1"/>
          <c:tx>
            <c:v>CLT</c:v>
          </c:tx>
          <c:spPr>
            <a:solidFill>
              <a:schemeClr val="accent2"/>
            </a:solidFill>
            <a:ln>
              <a:noFill/>
            </a:ln>
            <a:effectLst/>
          </c:spPr>
          <c:invertIfNegative val="0"/>
          <c:cat>
            <c:strRef>
              <c:f>Sheet1!$F$2:$F$11</c:f>
              <c:strCache>
                <c:ptCount val="10"/>
                <c:pt idx="0">
                  <c:v>Bismarck</c:v>
                </c:pt>
                <c:pt idx="1">
                  <c:v>Seattle</c:v>
                </c:pt>
                <c:pt idx="2">
                  <c:v>New York</c:v>
                </c:pt>
                <c:pt idx="3">
                  <c:v>Salt Lake City</c:v>
                </c:pt>
                <c:pt idx="4">
                  <c:v>Indianapolis</c:v>
                </c:pt>
                <c:pt idx="5">
                  <c:v>Topeka</c:v>
                </c:pt>
                <c:pt idx="6">
                  <c:v>Los Angeles</c:v>
                </c:pt>
                <c:pt idx="7">
                  <c:v>Santa Fe</c:v>
                </c:pt>
                <c:pt idx="8">
                  <c:v>Austin</c:v>
                </c:pt>
                <c:pt idx="9">
                  <c:v>Tallahassee</c:v>
                </c:pt>
              </c:strCache>
            </c:strRef>
          </c:cat>
          <c:val>
            <c:numRef>
              <c:f>Sheet1!$H$2:$H$11</c:f>
              <c:numCache>
                <c:formatCode>General</c:formatCode>
                <c:ptCount val="10"/>
                <c:pt idx="0">
                  <c:v>27</c:v>
                </c:pt>
                <c:pt idx="1">
                  <c:v>8</c:v>
                </c:pt>
                <c:pt idx="2">
                  <c:v>18</c:v>
                </c:pt>
                <c:pt idx="3">
                  <c:v>14</c:v>
                </c:pt>
                <c:pt idx="4">
                  <c:v>12</c:v>
                </c:pt>
                <c:pt idx="5">
                  <c:v>13</c:v>
                </c:pt>
                <c:pt idx="6">
                  <c:v>10</c:v>
                </c:pt>
                <c:pt idx="7">
                  <c:v>10.5</c:v>
                </c:pt>
                <c:pt idx="8">
                  <c:v>10</c:v>
                </c:pt>
                <c:pt idx="9">
                  <c:v>10</c:v>
                </c:pt>
              </c:numCache>
            </c:numRef>
          </c:val>
          <c:extLst>
            <c:ext xmlns:c16="http://schemas.microsoft.com/office/drawing/2014/chart" uri="{C3380CC4-5D6E-409C-BE32-E72D297353CC}">
              <c16:uniqueId val="{00000001-436E-4982-B32C-9DF0A96E8CDC}"/>
            </c:ext>
          </c:extLst>
        </c:ser>
        <c:dLbls>
          <c:showLegendKey val="0"/>
          <c:showVal val="0"/>
          <c:showCatName val="0"/>
          <c:showSerName val="0"/>
          <c:showPercent val="0"/>
          <c:showBubbleSize val="0"/>
        </c:dLbls>
        <c:gapWidth val="219"/>
        <c:overlap val="-27"/>
        <c:axId val="604135600"/>
        <c:axId val="604132320"/>
      </c:barChart>
      <c:lineChart>
        <c:grouping val="standard"/>
        <c:varyColors val="0"/>
        <c:ser>
          <c:idx val="2"/>
          <c:order val="2"/>
          <c:tx>
            <c:v>Difference</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Sheet1!$O$2:$O$11</c:f>
              <c:numCache>
                <c:formatCode>General</c:formatCode>
                <c:ptCount val="10"/>
                <c:pt idx="0">
                  <c:v>7</c:v>
                </c:pt>
                <c:pt idx="1">
                  <c:v>3</c:v>
                </c:pt>
                <c:pt idx="2">
                  <c:v>6</c:v>
                </c:pt>
                <c:pt idx="3">
                  <c:v>3.5</c:v>
                </c:pt>
                <c:pt idx="4">
                  <c:v>3</c:v>
                </c:pt>
                <c:pt idx="5">
                  <c:v>6.5</c:v>
                </c:pt>
                <c:pt idx="6">
                  <c:v>3</c:v>
                </c:pt>
                <c:pt idx="7">
                  <c:v>3.5</c:v>
                </c:pt>
                <c:pt idx="8">
                  <c:v>2</c:v>
                </c:pt>
                <c:pt idx="9">
                  <c:v>2.5</c:v>
                </c:pt>
              </c:numCache>
            </c:numRef>
          </c:val>
          <c:smooth val="0"/>
          <c:extLst>
            <c:ext xmlns:c16="http://schemas.microsoft.com/office/drawing/2014/chart" uri="{C3380CC4-5D6E-409C-BE32-E72D297353CC}">
              <c16:uniqueId val="{00000002-436E-4982-B32C-9DF0A96E8CDC}"/>
            </c:ext>
          </c:extLst>
        </c:ser>
        <c:dLbls>
          <c:showLegendKey val="0"/>
          <c:showVal val="0"/>
          <c:showCatName val="0"/>
          <c:showSerName val="0"/>
          <c:showPercent val="0"/>
          <c:showBubbleSize val="0"/>
        </c:dLbls>
        <c:marker val="1"/>
        <c:smooth val="0"/>
        <c:axId val="441614952"/>
        <c:axId val="441614624"/>
      </c:lineChart>
      <c:catAx>
        <c:axId val="60413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132320"/>
        <c:crosses val="autoZero"/>
        <c:auto val="1"/>
        <c:lblAlgn val="ctr"/>
        <c:lblOffset val="100"/>
        <c:noMultiLvlLbl val="0"/>
      </c:catAx>
      <c:valAx>
        <c:axId val="604132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Carbon Emissions (KG/m^2)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135600"/>
        <c:crosses val="autoZero"/>
        <c:crossBetween val="between"/>
      </c:valAx>
      <c:valAx>
        <c:axId val="44161462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Difference in Emissions (KG/m^2)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614952"/>
        <c:crosses val="max"/>
        <c:crossBetween val="between"/>
      </c:valAx>
      <c:catAx>
        <c:axId val="441614952"/>
        <c:scaling>
          <c:orientation val="minMax"/>
        </c:scaling>
        <c:delete val="1"/>
        <c:axPos val="b"/>
        <c:majorTickMark val="out"/>
        <c:minorTickMark val="none"/>
        <c:tickLblPos val="nextTo"/>
        <c:crossAx val="4416146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Energy Consumption of Concrete</a:t>
            </a:r>
            <a:r>
              <a:rPr lang="en-US" baseline="0"/>
              <a:t> vs CLT Buildings Over 50 Years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Materialization</c:v>
          </c:tx>
          <c:spPr>
            <a:solidFill>
              <a:schemeClr val="accent1"/>
            </a:solidFill>
            <a:ln>
              <a:noFill/>
            </a:ln>
            <a:effectLst/>
          </c:spPr>
          <c:invertIfNegative val="0"/>
          <c:cat>
            <c:strRef>
              <c:f>Sheet1!$A$30:$A$49</c:f>
              <c:strCache>
                <c:ptCount val="19"/>
                <c:pt idx="0">
                  <c:v>Bismarck</c:v>
                </c:pt>
                <c:pt idx="2">
                  <c:v>Seattle</c:v>
                </c:pt>
                <c:pt idx="4">
                  <c:v>New York</c:v>
                </c:pt>
                <c:pt idx="6">
                  <c:v>Salt Lake City</c:v>
                </c:pt>
                <c:pt idx="8">
                  <c:v>Indianapolis</c:v>
                </c:pt>
                <c:pt idx="10">
                  <c:v>Topeka</c:v>
                </c:pt>
                <c:pt idx="12">
                  <c:v>Los Angeles</c:v>
                </c:pt>
                <c:pt idx="14">
                  <c:v>Santa Fe</c:v>
                </c:pt>
                <c:pt idx="16">
                  <c:v>Austin</c:v>
                </c:pt>
                <c:pt idx="18">
                  <c:v>Tallahassee</c:v>
                </c:pt>
              </c:strCache>
            </c:strRef>
          </c:cat>
          <c:val>
            <c:numRef>
              <c:f>Sheet1!$B$30:$B$49</c:f>
              <c:numCache>
                <c:formatCode>General</c:formatCode>
                <c:ptCount val="20"/>
                <c:pt idx="0">
                  <c:v>4000</c:v>
                </c:pt>
                <c:pt idx="1">
                  <c:v>2000</c:v>
                </c:pt>
                <c:pt idx="2">
                  <c:v>4000</c:v>
                </c:pt>
                <c:pt idx="3">
                  <c:v>2000</c:v>
                </c:pt>
                <c:pt idx="4">
                  <c:v>4000</c:v>
                </c:pt>
                <c:pt idx="5">
                  <c:v>2000</c:v>
                </c:pt>
                <c:pt idx="6">
                  <c:v>4000</c:v>
                </c:pt>
                <c:pt idx="7">
                  <c:v>2000</c:v>
                </c:pt>
                <c:pt idx="8">
                  <c:v>4000</c:v>
                </c:pt>
                <c:pt idx="9">
                  <c:v>2000</c:v>
                </c:pt>
                <c:pt idx="10">
                  <c:v>4000</c:v>
                </c:pt>
                <c:pt idx="11">
                  <c:v>2000</c:v>
                </c:pt>
                <c:pt idx="12">
                  <c:v>4000</c:v>
                </c:pt>
                <c:pt idx="13">
                  <c:v>2000</c:v>
                </c:pt>
                <c:pt idx="14">
                  <c:v>4000</c:v>
                </c:pt>
                <c:pt idx="15">
                  <c:v>2000</c:v>
                </c:pt>
                <c:pt idx="16">
                  <c:v>4000</c:v>
                </c:pt>
                <c:pt idx="17">
                  <c:v>2000</c:v>
                </c:pt>
                <c:pt idx="18">
                  <c:v>4000</c:v>
                </c:pt>
                <c:pt idx="19">
                  <c:v>2000</c:v>
                </c:pt>
              </c:numCache>
            </c:numRef>
          </c:val>
          <c:extLst>
            <c:ext xmlns:c16="http://schemas.microsoft.com/office/drawing/2014/chart" uri="{C3380CC4-5D6E-409C-BE32-E72D297353CC}">
              <c16:uniqueId val="{00000000-F108-439D-953C-46C942A09092}"/>
            </c:ext>
          </c:extLst>
        </c:ser>
        <c:ser>
          <c:idx val="1"/>
          <c:order val="1"/>
          <c:tx>
            <c:strRef>
              <c:f>Sheet1!$C$29</c:f>
              <c:strCache>
                <c:ptCount val="1"/>
                <c:pt idx="0">
                  <c:v>Operations</c:v>
                </c:pt>
              </c:strCache>
            </c:strRef>
          </c:tx>
          <c:spPr>
            <a:solidFill>
              <a:schemeClr val="accent2"/>
            </a:solidFill>
            <a:ln>
              <a:noFill/>
            </a:ln>
            <a:effectLst/>
          </c:spPr>
          <c:invertIfNegative val="0"/>
          <c:cat>
            <c:strRef>
              <c:f>Sheet1!$A$30:$A$49</c:f>
              <c:strCache>
                <c:ptCount val="19"/>
                <c:pt idx="0">
                  <c:v>Bismarck</c:v>
                </c:pt>
                <c:pt idx="2">
                  <c:v>Seattle</c:v>
                </c:pt>
                <c:pt idx="4">
                  <c:v>New York</c:v>
                </c:pt>
                <c:pt idx="6">
                  <c:v>Salt Lake City</c:v>
                </c:pt>
                <c:pt idx="8">
                  <c:v>Indianapolis</c:v>
                </c:pt>
                <c:pt idx="10">
                  <c:v>Topeka</c:v>
                </c:pt>
                <c:pt idx="12">
                  <c:v>Los Angeles</c:v>
                </c:pt>
                <c:pt idx="14">
                  <c:v>Santa Fe</c:v>
                </c:pt>
                <c:pt idx="16">
                  <c:v>Austin</c:v>
                </c:pt>
                <c:pt idx="18">
                  <c:v>Tallahassee</c:v>
                </c:pt>
              </c:strCache>
            </c:strRef>
          </c:cat>
          <c:val>
            <c:numRef>
              <c:f>Sheet1!$C$30:$C$49</c:f>
              <c:numCache>
                <c:formatCode>General</c:formatCode>
                <c:ptCount val="20"/>
                <c:pt idx="0">
                  <c:v>44084.25</c:v>
                </c:pt>
                <c:pt idx="1">
                  <c:v>32888.300000000003</c:v>
                </c:pt>
                <c:pt idx="2">
                  <c:v>13995</c:v>
                </c:pt>
                <c:pt idx="3">
                  <c:v>9796.5</c:v>
                </c:pt>
                <c:pt idx="4">
                  <c:v>25191</c:v>
                </c:pt>
                <c:pt idx="5">
                  <c:v>17493.8</c:v>
                </c:pt>
                <c:pt idx="6">
                  <c:v>15394.5</c:v>
                </c:pt>
                <c:pt idx="7">
                  <c:v>9796.5</c:v>
                </c:pt>
                <c:pt idx="8">
                  <c:v>16794</c:v>
                </c:pt>
                <c:pt idx="9">
                  <c:v>11196</c:v>
                </c:pt>
                <c:pt idx="10">
                  <c:v>14694.75</c:v>
                </c:pt>
                <c:pt idx="11">
                  <c:v>10496.3</c:v>
                </c:pt>
                <c:pt idx="12">
                  <c:v>15394.5</c:v>
                </c:pt>
                <c:pt idx="13">
                  <c:v>9796.5</c:v>
                </c:pt>
                <c:pt idx="14">
                  <c:v>22392</c:v>
                </c:pt>
                <c:pt idx="15">
                  <c:v>13995</c:v>
                </c:pt>
                <c:pt idx="16">
                  <c:v>19593</c:v>
                </c:pt>
                <c:pt idx="17">
                  <c:v>13295.3</c:v>
                </c:pt>
                <c:pt idx="18">
                  <c:v>10496.25</c:v>
                </c:pt>
                <c:pt idx="19">
                  <c:v>8397</c:v>
                </c:pt>
              </c:numCache>
            </c:numRef>
          </c:val>
          <c:extLst>
            <c:ext xmlns:c16="http://schemas.microsoft.com/office/drawing/2014/chart" uri="{C3380CC4-5D6E-409C-BE32-E72D297353CC}">
              <c16:uniqueId val="{00000001-F108-439D-953C-46C942A09092}"/>
            </c:ext>
          </c:extLst>
        </c:ser>
        <c:ser>
          <c:idx val="2"/>
          <c:order val="2"/>
          <c:tx>
            <c:v>Deconstruction</c:v>
          </c:tx>
          <c:spPr>
            <a:solidFill>
              <a:schemeClr val="accent3"/>
            </a:solidFill>
            <a:ln>
              <a:noFill/>
            </a:ln>
            <a:effectLst/>
          </c:spPr>
          <c:invertIfNegative val="0"/>
          <c:cat>
            <c:strRef>
              <c:f>Sheet1!$A$30:$A$49</c:f>
              <c:strCache>
                <c:ptCount val="19"/>
                <c:pt idx="0">
                  <c:v>Bismarck</c:v>
                </c:pt>
                <c:pt idx="2">
                  <c:v>Seattle</c:v>
                </c:pt>
                <c:pt idx="4">
                  <c:v>New York</c:v>
                </c:pt>
                <c:pt idx="6">
                  <c:v>Salt Lake City</c:v>
                </c:pt>
                <c:pt idx="8">
                  <c:v>Indianapolis</c:v>
                </c:pt>
                <c:pt idx="10">
                  <c:v>Topeka</c:v>
                </c:pt>
                <c:pt idx="12">
                  <c:v>Los Angeles</c:v>
                </c:pt>
                <c:pt idx="14">
                  <c:v>Santa Fe</c:v>
                </c:pt>
                <c:pt idx="16">
                  <c:v>Austin</c:v>
                </c:pt>
                <c:pt idx="18">
                  <c:v>Tallahassee</c:v>
                </c:pt>
              </c:strCache>
            </c:strRef>
          </c:cat>
          <c:val>
            <c:numRef>
              <c:f>Sheet1!$D$30:$D$49</c:f>
              <c:numCache>
                <c:formatCode>General</c:formatCode>
                <c:ptCount val="20"/>
                <c:pt idx="0">
                  <c:v>1000</c:v>
                </c:pt>
                <c:pt idx="1">
                  <c:v>700</c:v>
                </c:pt>
                <c:pt idx="2">
                  <c:v>1000</c:v>
                </c:pt>
                <c:pt idx="3">
                  <c:v>700</c:v>
                </c:pt>
                <c:pt idx="4">
                  <c:v>1000</c:v>
                </c:pt>
                <c:pt idx="5">
                  <c:v>700</c:v>
                </c:pt>
                <c:pt idx="6">
                  <c:v>1000</c:v>
                </c:pt>
                <c:pt idx="7">
                  <c:v>700</c:v>
                </c:pt>
                <c:pt idx="8">
                  <c:v>1000</c:v>
                </c:pt>
                <c:pt idx="9">
                  <c:v>700</c:v>
                </c:pt>
                <c:pt idx="10">
                  <c:v>1000</c:v>
                </c:pt>
                <c:pt idx="11">
                  <c:v>700</c:v>
                </c:pt>
                <c:pt idx="12">
                  <c:v>1000</c:v>
                </c:pt>
                <c:pt idx="13">
                  <c:v>700</c:v>
                </c:pt>
                <c:pt idx="14">
                  <c:v>1000</c:v>
                </c:pt>
                <c:pt idx="15">
                  <c:v>700</c:v>
                </c:pt>
                <c:pt idx="16">
                  <c:v>1000</c:v>
                </c:pt>
                <c:pt idx="17">
                  <c:v>700</c:v>
                </c:pt>
                <c:pt idx="18">
                  <c:v>1000</c:v>
                </c:pt>
                <c:pt idx="19">
                  <c:v>700</c:v>
                </c:pt>
              </c:numCache>
            </c:numRef>
          </c:val>
          <c:extLst>
            <c:ext xmlns:c16="http://schemas.microsoft.com/office/drawing/2014/chart" uri="{C3380CC4-5D6E-409C-BE32-E72D297353CC}">
              <c16:uniqueId val="{00000002-F108-439D-953C-46C942A09092}"/>
            </c:ext>
          </c:extLst>
        </c:ser>
        <c:ser>
          <c:idx val="3"/>
          <c:order val="3"/>
          <c:tx>
            <c:v>Recovery (CLT)</c:v>
          </c:tx>
          <c:spPr>
            <a:solidFill>
              <a:schemeClr val="accent4"/>
            </a:solidFill>
            <a:ln>
              <a:noFill/>
            </a:ln>
            <a:effectLst/>
          </c:spPr>
          <c:invertIfNegative val="0"/>
          <c:cat>
            <c:strRef>
              <c:f>Sheet1!$A$30:$A$49</c:f>
              <c:strCache>
                <c:ptCount val="19"/>
                <c:pt idx="0">
                  <c:v>Bismarck</c:v>
                </c:pt>
                <c:pt idx="2">
                  <c:v>Seattle</c:v>
                </c:pt>
                <c:pt idx="4">
                  <c:v>New York</c:v>
                </c:pt>
                <c:pt idx="6">
                  <c:v>Salt Lake City</c:v>
                </c:pt>
                <c:pt idx="8">
                  <c:v>Indianapolis</c:v>
                </c:pt>
                <c:pt idx="10">
                  <c:v>Topeka</c:v>
                </c:pt>
                <c:pt idx="12">
                  <c:v>Los Angeles</c:v>
                </c:pt>
                <c:pt idx="14">
                  <c:v>Santa Fe</c:v>
                </c:pt>
                <c:pt idx="16">
                  <c:v>Austin</c:v>
                </c:pt>
                <c:pt idx="18">
                  <c:v>Tallahassee</c:v>
                </c:pt>
              </c:strCache>
            </c:strRef>
          </c:cat>
          <c:val>
            <c:numRef>
              <c:f>Sheet1!$E$30:$E$49</c:f>
              <c:numCache>
                <c:formatCode>General</c:formatCode>
                <c:ptCount val="20"/>
                <c:pt idx="1">
                  <c:v>-4000</c:v>
                </c:pt>
                <c:pt idx="3">
                  <c:v>-4000</c:v>
                </c:pt>
                <c:pt idx="5">
                  <c:v>-4000</c:v>
                </c:pt>
                <c:pt idx="7">
                  <c:v>-4000</c:v>
                </c:pt>
                <c:pt idx="9">
                  <c:v>-4000</c:v>
                </c:pt>
                <c:pt idx="11">
                  <c:v>-4000</c:v>
                </c:pt>
                <c:pt idx="13">
                  <c:v>-4000</c:v>
                </c:pt>
                <c:pt idx="15">
                  <c:v>-4000</c:v>
                </c:pt>
                <c:pt idx="17">
                  <c:v>-4000</c:v>
                </c:pt>
                <c:pt idx="19">
                  <c:v>-4000</c:v>
                </c:pt>
              </c:numCache>
            </c:numRef>
          </c:val>
          <c:extLst>
            <c:ext xmlns:c16="http://schemas.microsoft.com/office/drawing/2014/chart" uri="{C3380CC4-5D6E-409C-BE32-E72D297353CC}">
              <c16:uniqueId val="{00000003-F108-439D-953C-46C942A09092}"/>
            </c:ext>
          </c:extLst>
        </c:ser>
        <c:dLbls>
          <c:showLegendKey val="0"/>
          <c:showVal val="0"/>
          <c:showCatName val="0"/>
          <c:showSerName val="0"/>
          <c:showPercent val="0"/>
          <c:showBubbleSize val="0"/>
        </c:dLbls>
        <c:gapWidth val="150"/>
        <c:overlap val="100"/>
        <c:axId val="224270712"/>
        <c:axId val="224275304"/>
      </c:barChart>
      <c:catAx>
        <c:axId val="224270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275304"/>
        <c:crosses val="autoZero"/>
        <c:auto val="1"/>
        <c:lblAlgn val="ctr"/>
        <c:lblOffset val="100"/>
        <c:noMultiLvlLbl val="0"/>
      </c:catAx>
      <c:valAx>
        <c:axId val="224275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Energy</a:t>
                </a:r>
                <a:r>
                  <a:rPr lang="en-US" baseline="0"/>
                  <a:t> Consumption in GJ</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270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CO2</a:t>
            </a:r>
            <a:r>
              <a:rPr lang="en-US" baseline="0"/>
              <a:t> Emissions of Concrete vs CLT Buildings Over 50 Years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Sheet1!$J$29</c:f>
              <c:strCache>
                <c:ptCount val="1"/>
                <c:pt idx="0">
                  <c:v>Materialization</c:v>
                </c:pt>
              </c:strCache>
            </c:strRef>
          </c:tx>
          <c:spPr>
            <a:solidFill>
              <a:schemeClr val="accent1"/>
            </a:solidFill>
            <a:ln>
              <a:noFill/>
            </a:ln>
            <a:effectLst/>
          </c:spPr>
          <c:invertIfNegative val="0"/>
          <c:cat>
            <c:strRef>
              <c:f>Sheet1!$I$30:$I$49</c:f>
              <c:strCache>
                <c:ptCount val="19"/>
                <c:pt idx="0">
                  <c:v>Bismarck</c:v>
                </c:pt>
                <c:pt idx="2">
                  <c:v>Seattle</c:v>
                </c:pt>
                <c:pt idx="4">
                  <c:v>New York</c:v>
                </c:pt>
                <c:pt idx="6">
                  <c:v>Salt Lake City</c:v>
                </c:pt>
                <c:pt idx="8">
                  <c:v>Indianapolis</c:v>
                </c:pt>
                <c:pt idx="10">
                  <c:v>Topeka</c:v>
                </c:pt>
                <c:pt idx="12">
                  <c:v>Los Angeles</c:v>
                </c:pt>
                <c:pt idx="14">
                  <c:v>Santa Fe</c:v>
                </c:pt>
                <c:pt idx="16">
                  <c:v>Austin</c:v>
                </c:pt>
                <c:pt idx="18">
                  <c:v>Tallahassee</c:v>
                </c:pt>
              </c:strCache>
            </c:strRef>
          </c:cat>
          <c:val>
            <c:numRef>
              <c:f>Sheet1!$J$30:$J$49</c:f>
              <c:numCache>
                <c:formatCode>General</c:formatCode>
                <c:ptCount val="20"/>
                <c:pt idx="0">
                  <c:v>400</c:v>
                </c:pt>
                <c:pt idx="1">
                  <c:v>125</c:v>
                </c:pt>
                <c:pt idx="2">
                  <c:v>400</c:v>
                </c:pt>
                <c:pt idx="3">
                  <c:v>125</c:v>
                </c:pt>
                <c:pt idx="4">
                  <c:v>400</c:v>
                </c:pt>
                <c:pt idx="5">
                  <c:v>125</c:v>
                </c:pt>
                <c:pt idx="6">
                  <c:v>400</c:v>
                </c:pt>
                <c:pt idx="7">
                  <c:v>125</c:v>
                </c:pt>
                <c:pt idx="8">
                  <c:v>400</c:v>
                </c:pt>
                <c:pt idx="9">
                  <c:v>125</c:v>
                </c:pt>
                <c:pt idx="10">
                  <c:v>400</c:v>
                </c:pt>
                <c:pt idx="11">
                  <c:v>125</c:v>
                </c:pt>
                <c:pt idx="12">
                  <c:v>400</c:v>
                </c:pt>
                <c:pt idx="13">
                  <c:v>125</c:v>
                </c:pt>
                <c:pt idx="14">
                  <c:v>400</c:v>
                </c:pt>
                <c:pt idx="15">
                  <c:v>125</c:v>
                </c:pt>
                <c:pt idx="16">
                  <c:v>400</c:v>
                </c:pt>
                <c:pt idx="17">
                  <c:v>125</c:v>
                </c:pt>
                <c:pt idx="18">
                  <c:v>400</c:v>
                </c:pt>
                <c:pt idx="19">
                  <c:v>125</c:v>
                </c:pt>
              </c:numCache>
            </c:numRef>
          </c:val>
          <c:extLst>
            <c:ext xmlns:c16="http://schemas.microsoft.com/office/drawing/2014/chart" uri="{C3380CC4-5D6E-409C-BE32-E72D297353CC}">
              <c16:uniqueId val="{00000000-FCB2-481E-AE6F-1A21962638C1}"/>
            </c:ext>
          </c:extLst>
        </c:ser>
        <c:ser>
          <c:idx val="1"/>
          <c:order val="1"/>
          <c:tx>
            <c:strRef>
              <c:f>Sheet1!$K$29</c:f>
              <c:strCache>
                <c:ptCount val="1"/>
                <c:pt idx="0">
                  <c:v>Operations</c:v>
                </c:pt>
              </c:strCache>
            </c:strRef>
          </c:tx>
          <c:spPr>
            <a:solidFill>
              <a:schemeClr val="accent2"/>
            </a:solidFill>
            <a:ln>
              <a:noFill/>
            </a:ln>
            <a:effectLst/>
          </c:spPr>
          <c:invertIfNegative val="0"/>
          <c:cat>
            <c:strRef>
              <c:f>Sheet1!$I$30:$I$49</c:f>
              <c:strCache>
                <c:ptCount val="19"/>
                <c:pt idx="0">
                  <c:v>Bismarck</c:v>
                </c:pt>
                <c:pt idx="2">
                  <c:v>Seattle</c:v>
                </c:pt>
                <c:pt idx="4">
                  <c:v>New York</c:v>
                </c:pt>
                <c:pt idx="6">
                  <c:v>Salt Lake City</c:v>
                </c:pt>
                <c:pt idx="8">
                  <c:v>Indianapolis</c:v>
                </c:pt>
                <c:pt idx="10">
                  <c:v>Topeka</c:v>
                </c:pt>
                <c:pt idx="12">
                  <c:v>Los Angeles</c:v>
                </c:pt>
                <c:pt idx="14">
                  <c:v>Santa Fe</c:v>
                </c:pt>
                <c:pt idx="16">
                  <c:v>Austin</c:v>
                </c:pt>
                <c:pt idx="18">
                  <c:v>Tallahassee</c:v>
                </c:pt>
              </c:strCache>
            </c:strRef>
          </c:cat>
          <c:val>
            <c:numRef>
              <c:f>Sheet1!$K$30:$K$49</c:f>
              <c:numCache>
                <c:formatCode>General</c:formatCode>
                <c:ptCount val="20"/>
                <c:pt idx="0">
                  <c:v>4758.3</c:v>
                </c:pt>
                <c:pt idx="1">
                  <c:v>3778.65</c:v>
                </c:pt>
                <c:pt idx="2">
                  <c:v>1539.45</c:v>
                </c:pt>
                <c:pt idx="3">
                  <c:v>1119.5999999999999</c:v>
                </c:pt>
                <c:pt idx="4">
                  <c:v>3358.8</c:v>
                </c:pt>
                <c:pt idx="5">
                  <c:v>2519.1</c:v>
                </c:pt>
                <c:pt idx="6">
                  <c:v>2449.125</c:v>
                </c:pt>
                <c:pt idx="7">
                  <c:v>1959.3</c:v>
                </c:pt>
                <c:pt idx="8">
                  <c:v>2099.25</c:v>
                </c:pt>
                <c:pt idx="9">
                  <c:v>1679.4</c:v>
                </c:pt>
                <c:pt idx="10">
                  <c:v>2729.0250000000001</c:v>
                </c:pt>
                <c:pt idx="11">
                  <c:v>1819.35</c:v>
                </c:pt>
                <c:pt idx="12">
                  <c:v>1819.35</c:v>
                </c:pt>
                <c:pt idx="13">
                  <c:v>1399.5</c:v>
                </c:pt>
                <c:pt idx="14">
                  <c:v>1959.3</c:v>
                </c:pt>
                <c:pt idx="15">
                  <c:v>1469.4749999999999</c:v>
                </c:pt>
                <c:pt idx="16">
                  <c:v>1679.4</c:v>
                </c:pt>
                <c:pt idx="17">
                  <c:v>1399.5</c:v>
                </c:pt>
                <c:pt idx="18">
                  <c:v>1749.375</c:v>
                </c:pt>
                <c:pt idx="19">
                  <c:v>1399.5</c:v>
                </c:pt>
              </c:numCache>
            </c:numRef>
          </c:val>
          <c:extLst>
            <c:ext xmlns:c16="http://schemas.microsoft.com/office/drawing/2014/chart" uri="{C3380CC4-5D6E-409C-BE32-E72D297353CC}">
              <c16:uniqueId val="{00000001-FCB2-481E-AE6F-1A21962638C1}"/>
            </c:ext>
          </c:extLst>
        </c:ser>
        <c:ser>
          <c:idx val="2"/>
          <c:order val="2"/>
          <c:tx>
            <c:strRef>
              <c:f>Sheet1!$L$29</c:f>
              <c:strCache>
                <c:ptCount val="1"/>
                <c:pt idx="0">
                  <c:v>Deconstruction</c:v>
                </c:pt>
              </c:strCache>
            </c:strRef>
          </c:tx>
          <c:spPr>
            <a:solidFill>
              <a:schemeClr val="accent3"/>
            </a:solidFill>
            <a:ln>
              <a:noFill/>
            </a:ln>
            <a:effectLst/>
          </c:spPr>
          <c:invertIfNegative val="0"/>
          <c:cat>
            <c:strRef>
              <c:f>Sheet1!$I$30:$I$49</c:f>
              <c:strCache>
                <c:ptCount val="19"/>
                <c:pt idx="0">
                  <c:v>Bismarck</c:v>
                </c:pt>
                <c:pt idx="2">
                  <c:v>Seattle</c:v>
                </c:pt>
                <c:pt idx="4">
                  <c:v>New York</c:v>
                </c:pt>
                <c:pt idx="6">
                  <c:v>Salt Lake City</c:v>
                </c:pt>
                <c:pt idx="8">
                  <c:v>Indianapolis</c:v>
                </c:pt>
                <c:pt idx="10">
                  <c:v>Topeka</c:v>
                </c:pt>
                <c:pt idx="12">
                  <c:v>Los Angeles</c:v>
                </c:pt>
                <c:pt idx="14">
                  <c:v>Santa Fe</c:v>
                </c:pt>
                <c:pt idx="16">
                  <c:v>Austin</c:v>
                </c:pt>
                <c:pt idx="18">
                  <c:v>Tallahassee</c:v>
                </c:pt>
              </c:strCache>
            </c:strRef>
          </c:cat>
          <c:val>
            <c:numRef>
              <c:f>Sheet1!$L$30:$L$49</c:f>
              <c:numCache>
                <c:formatCode>General</c:formatCode>
                <c:ptCount val="20"/>
                <c:pt idx="0">
                  <c:v>250</c:v>
                </c:pt>
                <c:pt idx="1">
                  <c:v>100</c:v>
                </c:pt>
                <c:pt idx="2">
                  <c:v>250</c:v>
                </c:pt>
                <c:pt idx="3">
                  <c:v>100</c:v>
                </c:pt>
                <c:pt idx="4">
                  <c:v>250</c:v>
                </c:pt>
                <c:pt idx="5">
                  <c:v>100</c:v>
                </c:pt>
                <c:pt idx="6">
                  <c:v>250</c:v>
                </c:pt>
                <c:pt idx="7">
                  <c:v>100</c:v>
                </c:pt>
                <c:pt idx="8">
                  <c:v>250</c:v>
                </c:pt>
                <c:pt idx="9">
                  <c:v>100</c:v>
                </c:pt>
                <c:pt idx="10">
                  <c:v>250</c:v>
                </c:pt>
                <c:pt idx="11">
                  <c:v>100</c:v>
                </c:pt>
                <c:pt idx="12">
                  <c:v>250</c:v>
                </c:pt>
                <c:pt idx="13">
                  <c:v>100</c:v>
                </c:pt>
                <c:pt idx="14">
                  <c:v>250</c:v>
                </c:pt>
                <c:pt idx="15">
                  <c:v>100</c:v>
                </c:pt>
                <c:pt idx="16">
                  <c:v>250</c:v>
                </c:pt>
                <c:pt idx="17">
                  <c:v>100</c:v>
                </c:pt>
                <c:pt idx="18">
                  <c:v>250</c:v>
                </c:pt>
                <c:pt idx="19">
                  <c:v>100</c:v>
                </c:pt>
              </c:numCache>
            </c:numRef>
          </c:val>
          <c:extLst>
            <c:ext xmlns:c16="http://schemas.microsoft.com/office/drawing/2014/chart" uri="{C3380CC4-5D6E-409C-BE32-E72D297353CC}">
              <c16:uniqueId val="{00000002-FCB2-481E-AE6F-1A21962638C1}"/>
            </c:ext>
          </c:extLst>
        </c:ser>
        <c:ser>
          <c:idx val="3"/>
          <c:order val="3"/>
          <c:tx>
            <c:strRef>
              <c:f>Sheet1!$M$29</c:f>
              <c:strCache>
                <c:ptCount val="1"/>
                <c:pt idx="0">
                  <c:v>Recycling (CLT)</c:v>
                </c:pt>
              </c:strCache>
            </c:strRef>
          </c:tx>
          <c:spPr>
            <a:solidFill>
              <a:schemeClr val="accent4"/>
            </a:solidFill>
            <a:ln>
              <a:noFill/>
            </a:ln>
            <a:effectLst/>
          </c:spPr>
          <c:invertIfNegative val="0"/>
          <c:cat>
            <c:strRef>
              <c:f>Sheet1!$I$30:$I$49</c:f>
              <c:strCache>
                <c:ptCount val="19"/>
                <c:pt idx="0">
                  <c:v>Bismarck</c:v>
                </c:pt>
                <c:pt idx="2">
                  <c:v>Seattle</c:v>
                </c:pt>
                <c:pt idx="4">
                  <c:v>New York</c:v>
                </c:pt>
                <c:pt idx="6">
                  <c:v>Salt Lake City</c:v>
                </c:pt>
                <c:pt idx="8">
                  <c:v>Indianapolis</c:v>
                </c:pt>
                <c:pt idx="10">
                  <c:v>Topeka</c:v>
                </c:pt>
                <c:pt idx="12">
                  <c:v>Los Angeles</c:v>
                </c:pt>
                <c:pt idx="14">
                  <c:v>Santa Fe</c:v>
                </c:pt>
                <c:pt idx="16">
                  <c:v>Austin</c:v>
                </c:pt>
                <c:pt idx="18">
                  <c:v>Tallahassee</c:v>
                </c:pt>
              </c:strCache>
            </c:strRef>
          </c:cat>
          <c:val>
            <c:numRef>
              <c:f>Sheet1!$M$30:$M$49</c:f>
              <c:numCache>
                <c:formatCode>General</c:formatCode>
                <c:ptCount val="20"/>
                <c:pt idx="1">
                  <c:v>-606.24</c:v>
                </c:pt>
                <c:pt idx="3">
                  <c:v>-606.24</c:v>
                </c:pt>
                <c:pt idx="5">
                  <c:v>-606.24</c:v>
                </c:pt>
                <c:pt idx="7">
                  <c:v>-606.24</c:v>
                </c:pt>
                <c:pt idx="9">
                  <c:v>-606.24</c:v>
                </c:pt>
                <c:pt idx="11">
                  <c:v>-606.24</c:v>
                </c:pt>
                <c:pt idx="13">
                  <c:v>-606.24</c:v>
                </c:pt>
                <c:pt idx="15">
                  <c:v>-606.24</c:v>
                </c:pt>
                <c:pt idx="17">
                  <c:v>-606.24</c:v>
                </c:pt>
                <c:pt idx="19">
                  <c:v>-606.24</c:v>
                </c:pt>
              </c:numCache>
            </c:numRef>
          </c:val>
          <c:extLst>
            <c:ext xmlns:c16="http://schemas.microsoft.com/office/drawing/2014/chart" uri="{C3380CC4-5D6E-409C-BE32-E72D297353CC}">
              <c16:uniqueId val="{00000003-FCB2-481E-AE6F-1A21962638C1}"/>
            </c:ext>
          </c:extLst>
        </c:ser>
        <c:dLbls>
          <c:showLegendKey val="0"/>
          <c:showVal val="0"/>
          <c:showCatName val="0"/>
          <c:showSerName val="0"/>
          <c:showPercent val="0"/>
          <c:showBubbleSize val="0"/>
        </c:dLbls>
        <c:gapWidth val="150"/>
        <c:overlap val="100"/>
        <c:axId val="232330432"/>
        <c:axId val="232331416"/>
      </c:barChart>
      <c:catAx>
        <c:axId val="23233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331416"/>
        <c:crosses val="autoZero"/>
        <c:auto val="1"/>
        <c:lblAlgn val="ctr"/>
        <c:lblOffset val="100"/>
        <c:noMultiLvlLbl val="0"/>
      </c:catAx>
      <c:valAx>
        <c:axId val="232331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Tons of CO2</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330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CLT Energy</a:t>
            </a:r>
            <a:r>
              <a:rPr lang="en-US" baseline="0"/>
              <a:t> Consumption and Emissions as a percentage of Reinforced Concrete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Energy Consumption</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(Sheet1!$A$30,Sheet1!$A$32,Sheet1!$A$34,Sheet1!$A$36,Sheet1!$A$38,Sheet1!$A$40,Sheet1!$A$42,Sheet1!$A$44,Sheet1!$A$46,Sheet1!$A$48)</c:f>
              <c:strCache>
                <c:ptCount val="10"/>
                <c:pt idx="0">
                  <c:v>Bismarck</c:v>
                </c:pt>
                <c:pt idx="1">
                  <c:v>Seattle</c:v>
                </c:pt>
                <c:pt idx="2">
                  <c:v>New York</c:v>
                </c:pt>
                <c:pt idx="3">
                  <c:v>Salt Lake City</c:v>
                </c:pt>
                <c:pt idx="4">
                  <c:v>Indianapolis</c:v>
                </c:pt>
                <c:pt idx="5">
                  <c:v>Topeka</c:v>
                </c:pt>
                <c:pt idx="6">
                  <c:v>Los Angeles</c:v>
                </c:pt>
                <c:pt idx="7">
                  <c:v>Santa Fe</c:v>
                </c:pt>
                <c:pt idx="8">
                  <c:v>Austin</c:v>
                </c:pt>
                <c:pt idx="9">
                  <c:v>Tallahassee</c:v>
                </c:pt>
              </c:strCache>
            </c:strRef>
          </c:cat>
          <c:val>
            <c:numRef>
              <c:f>(Sheet1!$J$30,Sheet1!$J$32,Sheet1!$J$34,Sheet1!$J$36,Sheet1!$J$38,Sheet1!$J$40,Sheet1!$J$42,Sheet1!$J$44,Sheet1!$J$46,Sheet1!$J$48)</c:f>
              <c:numCache>
                <c:formatCode>General</c:formatCode>
                <c:ptCount val="10"/>
                <c:pt idx="0">
                  <c:v>35.644733290210198</c:v>
                </c:pt>
                <c:pt idx="1">
                  <c:v>55.269807844169513</c:v>
                </c:pt>
                <c:pt idx="2">
                  <c:v>46.362160908880135</c:v>
                </c:pt>
                <c:pt idx="3">
                  <c:v>58.339258133320257</c:v>
                </c:pt>
                <c:pt idx="4">
                  <c:v>54.593007249701756</c:v>
                </c:pt>
                <c:pt idx="5">
                  <c:v>53.305830233945592</c:v>
                </c:pt>
                <c:pt idx="6">
                  <c:v>58.339258133320257</c:v>
                </c:pt>
                <c:pt idx="7">
                  <c:v>53.654351635514018</c:v>
                </c:pt>
                <c:pt idx="8">
                  <c:v>51.224738746797868</c:v>
                </c:pt>
                <c:pt idx="9">
                  <c:v>54.2018230216988</c:v>
                </c:pt>
              </c:numCache>
            </c:numRef>
          </c:val>
          <c:smooth val="0"/>
          <c:extLst>
            <c:ext xmlns:c16="http://schemas.microsoft.com/office/drawing/2014/chart" uri="{C3380CC4-5D6E-409C-BE32-E72D297353CC}">
              <c16:uniqueId val="{00000000-236D-47BB-A216-DF4B08071636}"/>
            </c:ext>
          </c:extLst>
        </c:ser>
        <c:ser>
          <c:idx val="1"/>
          <c:order val="1"/>
          <c:tx>
            <c:v>Carbon Emissions</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(Sheet1!$A$30,Sheet1!$A$32,Sheet1!$A$34,Sheet1!$A$36,Sheet1!$A$38,Sheet1!$A$40,Sheet1!$A$42,Sheet1!$A$44,Sheet1!$A$46,Sheet1!$A$48)</c:f>
              <c:strCache>
                <c:ptCount val="10"/>
                <c:pt idx="0">
                  <c:v>Bismarck</c:v>
                </c:pt>
                <c:pt idx="1">
                  <c:v>Seattle</c:v>
                </c:pt>
                <c:pt idx="2">
                  <c:v>New York</c:v>
                </c:pt>
                <c:pt idx="3">
                  <c:v>Salt Lake City</c:v>
                </c:pt>
                <c:pt idx="4">
                  <c:v>Indianapolis</c:v>
                </c:pt>
                <c:pt idx="5">
                  <c:v>Topeka</c:v>
                </c:pt>
                <c:pt idx="6">
                  <c:v>Los Angeles</c:v>
                </c:pt>
                <c:pt idx="7">
                  <c:v>Santa Fe</c:v>
                </c:pt>
                <c:pt idx="8">
                  <c:v>Austin</c:v>
                </c:pt>
                <c:pt idx="9">
                  <c:v>Tallahassee</c:v>
                </c:pt>
              </c:strCache>
            </c:strRef>
          </c:cat>
          <c:val>
            <c:numRef>
              <c:f>(Sheet1!$U$30,Sheet1!$U$32,Sheet1!$U$34,Sheet1!$U$36,Sheet1!$U$38,Sheet1!$U$40,Sheet1!$U$42,Sheet1!$U$44,Sheet1!$U$46,Sheet1!$U$48)</c:f>
              <c:numCache>
                <c:formatCode>General</c:formatCode>
                <c:ptCount val="10"/>
                <c:pt idx="0">
                  <c:v>37.181554277684306</c:v>
                </c:pt>
                <c:pt idx="1">
                  <c:v>66.276462125191259</c:v>
                </c:pt>
                <c:pt idx="2">
                  <c:v>46.670824186789076</c:v>
                </c:pt>
                <c:pt idx="3">
                  <c:v>49.080466260638076</c:v>
                </c:pt>
                <c:pt idx="4">
                  <c:v>52.78130399199781</c:v>
                </c:pt>
                <c:pt idx="5">
                  <c:v>57.440089966780363</c:v>
                </c:pt>
                <c:pt idx="6">
                  <c:v>58.764047218903755</c:v>
                </c:pt>
                <c:pt idx="7">
                  <c:v>58.293986893036454</c:v>
                </c:pt>
                <c:pt idx="8">
                  <c:v>56.286597407057613</c:v>
                </c:pt>
                <c:pt idx="9">
                  <c:v>57.561448293826523</c:v>
                </c:pt>
              </c:numCache>
            </c:numRef>
          </c:val>
          <c:smooth val="0"/>
          <c:extLst>
            <c:ext xmlns:c16="http://schemas.microsoft.com/office/drawing/2014/chart" uri="{C3380CC4-5D6E-409C-BE32-E72D297353CC}">
              <c16:uniqueId val="{00000001-236D-47BB-A216-DF4B08071636}"/>
            </c:ext>
          </c:extLst>
        </c:ser>
        <c:dLbls>
          <c:showLegendKey val="0"/>
          <c:showVal val="0"/>
          <c:showCatName val="0"/>
          <c:showSerName val="0"/>
          <c:showPercent val="0"/>
          <c:showBubbleSize val="0"/>
        </c:dLbls>
        <c:marker val="1"/>
        <c:smooth val="0"/>
        <c:axId val="438974632"/>
        <c:axId val="438978896"/>
      </c:lineChart>
      <c:catAx>
        <c:axId val="438974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978896"/>
        <c:crosses val="autoZero"/>
        <c:auto val="1"/>
        <c:lblAlgn val="ctr"/>
        <c:lblOffset val="100"/>
        <c:noMultiLvlLbl val="0"/>
      </c:catAx>
      <c:valAx>
        <c:axId val="438978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974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AB03-D9FA-48C0-BD88-8644C6FE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15</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Hasan</dc:creator>
  <cp:keywords/>
  <dc:description/>
  <cp:lastModifiedBy>Ali Hasan</cp:lastModifiedBy>
  <cp:revision>57</cp:revision>
  <dcterms:created xsi:type="dcterms:W3CDTF">2017-07-23T16:48:00Z</dcterms:created>
  <dcterms:modified xsi:type="dcterms:W3CDTF">2017-08-09T04:09:00Z</dcterms:modified>
</cp:coreProperties>
</file>